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0A467248"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740E35">
        <w:rPr>
          <w:rFonts w:ascii="Arial" w:eastAsia="MS Mincho" w:hAnsi="Arial"/>
          <w:b/>
          <w:bCs/>
          <w:noProof/>
          <w:color w:val="000000"/>
          <w:sz w:val="24"/>
          <w:szCs w:val="24"/>
          <w:lang w:val="en-US" w:eastAsia="ja-JP"/>
        </w:rPr>
        <w:t>6</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902376" w:rsidRPr="00902376">
        <w:rPr>
          <w:rFonts w:ascii="Arial" w:eastAsia="MS Mincho" w:hAnsi="Arial"/>
          <w:b/>
          <w:bCs/>
          <w:noProof/>
          <w:color w:val="000000"/>
          <w:sz w:val="24"/>
          <w:szCs w:val="24"/>
          <w:lang w:eastAsia="ja-JP"/>
        </w:rPr>
        <w:t>R4-25</w:t>
      </w:r>
      <w:r w:rsidR="009F6829">
        <w:rPr>
          <w:rFonts w:ascii="Arial" w:eastAsia="MS Mincho" w:hAnsi="Arial"/>
          <w:b/>
          <w:bCs/>
          <w:noProof/>
          <w:color w:val="000000"/>
          <w:sz w:val="24"/>
          <w:szCs w:val="24"/>
          <w:lang w:eastAsia="ja-JP"/>
        </w:rPr>
        <w:t>11489</w:t>
      </w:r>
      <w:r w:rsidR="00902376" w:rsidRPr="00902376">
        <w:rPr>
          <w:rFonts w:ascii="Arial" w:eastAsia="MS Mincho" w:hAnsi="Arial"/>
          <w:b/>
          <w:bCs/>
          <w:noProof/>
          <w:color w:val="000000"/>
          <w:sz w:val="24"/>
          <w:szCs w:val="24"/>
          <w:lang w:val="en-US" w:eastAsia="ja-JP"/>
        </w:rPr>
        <w:t xml:space="preserve"> </w:t>
      </w:r>
      <w:r w:rsidR="00740E35">
        <w:rPr>
          <w:rFonts w:ascii="Arial" w:eastAsia="MS Mincho" w:hAnsi="Arial"/>
          <w:b/>
          <w:bCs/>
          <w:noProof/>
          <w:color w:val="000000"/>
          <w:sz w:val="24"/>
          <w:szCs w:val="24"/>
          <w:lang w:val="en-US" w:eastAsia="ja-JP"/>
        </w:rPr>
        <w:t>Bengaluru</w:t>
      </w:r>
      <w:r w:rsidR="00DE157C">
        <w:rPr>
          <w:rFonts w:ascii="Arial" w:eastAsia="MS Mincho" w:hAnsi="Arial"/>
          <w:b/>
          <w:bCs/>
          <w:noProof/>
          <w:color w:val="000000"/>
          <w:sz w:val="24"/>
          <w:szCs w:val="24"/>
          <w:lang w:val="en-US" w:eastAsia="ja-JP"/>
        </w:rPr>
        <w:t xml:space="preserve">, </w:t>
      </w:r>
      <w:r w:rsidR="00740E35">
        <w:rPr>
          <w:rFonts w:ascii="Arial" w:eastAsia="MS Mincho" w:hAnsi="Arial"/>
          <w:b/>
          <w:bCs/>
          <w:noProof/>
          <w:color w:val="000000"/>
          <w:sz w:val="24"/>
          <w:szCs w:val="24"/>
          <w:lang w:val="en-US" w:eastAsia="ja-JP"/>
        </w:rPr>
        <w:t>India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3BDEC3EC" w:rsidR="00E752F9" w:rsidRPr="009F6D71" w:rsidRDefault="00740E35" w:rsidP="00E752F9">
      <w:pPr>
        <w:widowControl w:val="0"/>
        <w:spacing w:after="0"/>
        <w:rPr>
          <w:rFonts w:ascii="Arial" w:eastAsia="MS Mincho" w:hAnsi="Arial"/>
          <w:b/>
          <w:bCs/>
          <w:noProof/>
          <w:color w:val="000000"/>
          <w:sz w:val="24"/>
          <w:szCs w:val="24"/>
          <w:lang w:eastAsia="ja-JP"/>
        </w:rPr>
      </w:pPr>
      <w:r>
        <w:rPr>
          <w:rFonts w:ascii="Arial" w:eastAsia="MS Mincho" w:hAnsi="Arial"/>
          <w:b/>
          <w:bCs/>
          <w:noProof/>
          <w:color w:val="000000"/>
          <w:sz w:val="24"/>
          <w:szCs w:val="24"/>
          <w:lang w:eastAsia="ja-JP"/>
        </w:rPr>
        <w:t>August 25</w:t>
      </w:r>
      <w:r w:rsidRPr="00740E35">
        <w:rPr>
          <w:rFonts w:ascii="Arial" w:eastAsia="MS Mincho" w:hAnsi="Arial"/>
          <w:b/>
          <w:bCs/>
          <w:noProof/>
          <w:color w:val="000000"/>
          <w:sz w:val="24"/>
          <w:szCs w:val="24"/>
          <w:vertAlign w:val="superscript"/>
          <w:lang w:eastAsia="ja-JP"/>
        </w:rPr>
        <w:t>th</w:t>
      </w:r>
      <w:r>
        <w:rPr>
          <w:rFonts w:ascii="Arial" w:eastAsia="MS Mincho" w:hAnsi="Arial"/>
          <w:b/>
          <w:bCs/>
          <w:noProof/>
          <w:color w:val="000000"/>
          <w:sz w:val="24"/>
          <w:szCs w:val="24"/>
          <w:lang w:eastAsia="ja-JP"/>
        </w:rPr>
        <w:t xml:space="preserve"> – 29</w:t>
      </w:r>
      <w:r w:rsidRPr="00740E35">
        <w:rPr>
          <w:rFonts w:ascii="Arial" w:eastAsia="MS Mincho" w:hAnsi="Arial"/>
          <w:b/>
          <w:bCs/>
          <w:noProof/>
          <w:color w:val="000000"/>
          <w:sz w:val="24"/>
          <w:szCs w:val="24"/>
          <w:vertAlign w:val="superscript"/>
          <w:lang w:eastAsia="ja-JP"/>
        </w:rPr>
        <w:t>th</w:t>
      </w:r>
      <w:r>
        <w:rPr>
          <w:rFonts w:ascii="Arial" w:eastAsia="MS Mincho" w:hAnsi="Arial"/>
          <w:b/>
          <w:bCs/>
          <w:noProof/>
          <w:color w:val="000000"/>
          <w:sz w:val="24"/>
          <w:szCs w:val="24"/>
          <w:lang w:eastAsia="ja-JP"/>
        </w:rPr>
        <w:t>,</w:t>
      </w:r>
      <w:r w:rsidR="00AC7079">
        <w:rPr>
          <w:rFonts w:ascii="Arial" w:eastAsia="MS Mincho" w:hAnsi="Arial"/>
          <w:b/>
          <w:bCs/>
          <w:noProof/>
          <w:color w:val="000000"/>
          <w:sz w:val="24"/>
          <w:szCs w:val="24"/>
          <w:lang w:eastAsia="ja-JP"/>
        </w:rPr>
        <w:t xml:space="preserve"> 202</w:t>
      </w:r>
      <w:r w:rsidR="005B1F5F">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3D73C9EC"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740E35">
        <w:rPr>
          <w:rFonts w:ascii="Arial" w:eastAsia="MS Gothic" w:hAnsi="Arial" w:cs="Arial"/>
          <w:b/>
          <w:sz w:val="24"/>
          <w:szCs w:val="24"/>
          <w:lang w:eastAsia="ja-JP"/>
        </w:rPr>
        <w:t>6.14.2</w:t>
      </w:r>
    </w:p>
    <w:p w14:paraId="68F4337F" w14:textId="0CC9F16F"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r w:rsidR="00C0761A">
        <w:rPr>
          <w:rFonts w:ascii="Arial" w:eastAsia="MS Gothic" w:hAnsi="Arial"/>
          <w:b/>
          <w:color w:val="000000"/>
          <w:sz w:val="24"/>
          <w:lang w:eastAsia="ja-JP"/>
        </w:rPr>
        <w:t>, Motorola</w:t>
      </w:r>
      <w:r w:rsidR="006F1616">
        <w:rPr>
          <w:rFonts w:ascii="Arial" w:eastAsia="MS Gothic" w:hAnsi="Arial"/>
          <w:b/>
          <w:color w:val="000000"/>
          <w:sz w:val="24"/>
          <w:lang w:eastAsia="ja-JP"/>
        </w:rPr>
        <w:t xml:space="preserve"> Mobility</w:t>
      </w:r>
    </w:p>
    <w:p w14:paraId="7B68793B" w14:textId="1D0FD9A2"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0F3C48">
        <w:rPr>
          <w:rFonts w:ascii="Arial" w:eastAsia="MS Gothic" w:hAnsi="Arial"/>
          <w:b/>
          <w:color w:val="000000"/>
          <w:sz w:val="24"/>
          <w:lang w:eastAsia="ja-JP"/>
        </w:rPr>
        <w:t xml:space="preserve">On </w:t>
      </w:r>
      <w:r w:rsidR="007C728A">
        <w:rPr>
          <w:rFonts w:ascii="Arial" w:eastAsia="MS Gothic" w:hAnsi="Arial"/>
          <w:b/>
          <w:color w:val="000000"/>
          <w:sz w:val="24"/>
          <w:lang w:eastAsia="ja-JP"/>
        </w:rPr>
        <w:t>C</w:t>
      </w:r>
      <w:r w:rsidR="00E81E79" w:rsidRPr="00E81E79">
        <w:rPr>
          <w:rFonts w:ascii="Arial" w:eastAsia="MS Gothic" w:hAnsi="Arial"/>
          <w:b/>
          <w:color w:val="000000"/>
          <w:sz w:val="24"/>
          <w:lang w:eastAsia="ja-JP"/>
        </w:rPr>
        <w:t xml:space="preserve">oexistence </w:t>
      </w:r>
      <w:r w:rsidR="007C728A">
        <w:rPr>
          <w:rFonts w:ascii="Arial" w:eastAsia="MS Gothic" w:hAnsi="Arial"/>
          <w:b/>
          <w:color w:val="000000"/>
          <w:sz w:val="24"/>
          <w:lang w:eastAsia="ja-JP"/>
        </w:rPr>
        <w:t>Requirements</w:t>
      </w:r>
      <w:r w:rsidR="000F3C48">
        <w:rPr>
          <w:rFonts w:ascii="Arial" w:eastAsia="MS Gothic" w:hAnsi="Arial"/>
          <w:b/>
          <w:color w:val="000000"/>
          <w:sz w:val="24"/>
          <w:lang w:eastAsia="ja-JP"/>
        </w:rPr>
        <w:t xml:space="preserve"> for </w:t>
      </w:r>
      <w:r w:rsidR="007C728A">
        <w:rPr>
          <w:rFonts w:ascii="Arial" w:eastAsia="MS Gothic" w:hAnsi="Arial"/>
          <w:b/>
          <w:color w:val="000000"/>
          <w:sz w:val="24"/>
          <w:lang w:eastAsia="ja-JP"/>
        </w:rPr>
        <w:t>the</w:t>
      </w:r>
      <w:r w:rsidR="00E81E79" w:rsidRPr="00E81E79">
        <w:rPr>
          <w:rFonts w:ascii="Arial" w:eastAsia="MS Gothic" w:hAnsi="Arial"/>
          <w:b/>
          <w:color w:val="000000"/>
          <w:sz w:val="24"/>
          <w:lang w:eastAsia="ja-JP"/>
        </w:rPr>
        <w:t xml:space="preserve"> NR 4940-4990 MHz </w:t>
      </w:r>
      <w:r w:rsidR="007C728A">
        <w:rPr>
          <w:rFonts w:ascii="Arial" w:eastAsia="MS Gothic" w:hAnsi="Arial"/>
          <w:b/>
          <w:color w:val="000000"/>
          <w:sz w:val="24"/>
          <w:lang w:eastAsia="ja-JP"/>
        </w:rPr>
        <w:t>Ba</w:t>
      </w:r>
      <w:r w:rsidR="00E81E79" w:rsidRPr="00E81E79">
        <w:rPr>
          <w:rFonts w:ascii="Arial" w:eastAsia="MS Gothic" w:hAnsi="Arial"/>
          <w:b/>
          <w:color w:val="000000"/>
          <w:sz w:val="24"/>
          <w:lang w:eastAsia="ja-JP"/>
        </w:rPr>
        <w:t xml:space="preserve">nd for US </w:t>
      </w:r>
      <w:r w:rsidR="007C728A">
        <w:rPr>
          <w:rFonts w:ascii="Arial" w:eastAsia="MS Gothic" w:hAnsi="Arial"/>
          <w:b/>
          <w:color w:val="000000"/>
          <w:sz w:val="24"/>
          <w:lang w:eastAsia="ja-JP"/>
        </w:rPr>
        <w:t>Public Safety</w:t>
      </w:r>
    </w:p>
    <w:p w14:paraId="71FFD46D" w14:textId="7D591086"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F1616">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0301FDCC" w14:textId="77777777" w:rsidR="005950FC" w:rsidRDefault="004A388F" w:rsidP="0037090C">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7FBA2D" w14:textId="56249FF0" w:rsidR="00C00FCE" w:rsidRDefault="005950FC" w:rsidP="00C00FCE">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In RAN #108, work item [</w:t>
      </w:r>
      <w:r w:rsidR="005C43E2">
        <w:rPr>
          <w:rFonts w:eastAsia="MS Gothic"/>
          <w:sz w:val="22"/>
          <w:szCs w:val="22"/>
          <w:lang w:eastAsia="ja-JP"/>
        </w:rPr>
        <w:t>1</w:t>
      </w:r>
      <w:r>
        <w:rPr>
          <w:rFonts w:eastAsia="MS Gothic"/>
          <w:sz w:val="22"/>
          <w:szCs w:val="22"/>
          <w:lang w:eastAsia="ja-JP"/>
        </w:rPr>
        <w:t>] was agreed with the objective of defining a new 5G NR TDD operating band in the frequency range of 4940-4990 MHz</w:t>
      </w:r>
      <w:r w:rsidR="007D2A91">
        <w:rPr>
          <w:rFonts w:eastAsia="MS Gothic"/>
          <w:sz w:val="22"/>
          <w:szCs w:val="22"/>
          <w:lang w:eastAsia="ja-JP"/>
        </w:rPr>
        <w:t xml:space="preserve"> in the U.S.</w:t>
      </w:r>
      <w:r>
        <w:rPr>
          <w:rFonts w:eastAsia="MS Gothic"/>
          <w:sz w:val="22"/>
          <w:szCs w:val="22"/>
          <w:lang w:eastAsia="ja-JP"/>
        </w:rPr>
        <w:t xml:space="preserve"> t</w:t>
      </w:r>
      <w:r w:rsidRPr="005950FC">
        <w:rPr>
          <w:rFonts w:eastAsia="MS Gothic"/>
          <w:sz w:val="22"/>
          <w:szCs w:val="22"/>
          <w:lang w:eastAsia="ja-JP"/>
        </w:rPr>
        <w:t xml:space="preserve">o allow for </w:t>
      </w:r>
      <w:r w:rsidR="00A46AEA">
        <w:rPr>
          <w:rFonts w:eastAsia="MS Gothic"/>
          <w:sz w:val="22"/>
          <w:szCs w:val="22"/>
          <w:lang w:eastAsia="ja-JP"/>
        </w:rPr>
        <w:t xml:space="preserve">5G </w:t>
      </w:r>
      <w:r w:rsidRPr="005950FC">
        <w:rPr>
          <w:rFonts w:eastAsia="MS Gothic"/>
          <w:sz w:val="22"/>
          <w:szCs w:val="22"/>
          <w:lang w:eastAsia="ja-JP"/>
        </w:rPr>
        <w:t xml:space="preserve">public safety operation in line with the framework identified </w:t>
      </w:r>
      <w:r w:rsidR="00EB75F5">
        <w:rPr>
          <w:rFonts w:eastAsia="MS Gothic"/>
          <w:sz w:val="22"/>
          <w:szCs w:val="22"/>
          <w:lang w:eastAsia="ja-JP"/>
        </w:rPr>
        <w:t xml:space="preserve">in </w:t>
      </w:r>
      <w:r w:rsidR="00EB75F5" w:rsidRPr="00EB75F5">
        <w:rPr>
          <w:rFonts w:eastAsia="MS Gothic"/>
          <w:sz w:val="22"/>
          <w:szCs w:val="22"/>
          <w:lang w:eastAsia="ja-JP"/>
        </w:rPr>
        <w:t>Amendment of Part 90 of the Commission’s Rules</w:t>
      </w:r>
      <w:r w:rsidR="00EB75F5">
        <w:rPr>
          <w:rFonts w:eastAsia="MS Gothic"/>
          <w:sz w:val="22"/>
          <w:szCs w:val="22"/>
          <w:lang w:eastAsia="ja-JP"/>
        </w:rPr>
        <w:t xml:space="preserve"> in </w:t>
      </w:r>
      <w:r w:rsidR="00EB75F5" w:rsidRPr="00EB75F5">
        <w:rPr>
          <w:rFonts w:eastAsia="MS Gothic"/>
          <w:sz w:val="22"/>
          <w:szCs w:val="22"/>
          <w:lang w:eastAsia="ja-JP"/>
        </w:rPr>
        <w:t>FCC 24-114</w:t>
      </w:r>
      <w:r w:rsidR="00EB75F5">
        <w:rPr>
          <w:rFonts w:eastAsia="MS Gothic"/>
          <w:sz w:val="22"/>
          <w:szCs w:val="22"/>
          <w:lang w:eastAsia="ja-JP"/>
        </w:rPr>
        <w:t xml:space="preserve"> </w:t>
      </w:r>
      <w:r w:rsidR="00EB75F5" w:rsidRPr="00EB75F5">
        <w:rPr>
          <w:rFonts w:eastAsia="MS Gothic"/>
          <w:sz w:val="22"/>
          <w:szCs w:val="22"/>
          <w:lang w:eastAsia="ja-JP"/>
        </w:rPr>
        <w:t>WP Docket No. 07-100</w:t>
      </w:r>
      <w:r w:rsidR="00EB75F5">
        <w:rPr>
          <w:rFonts w:eastAsia="MS Gothic"/>
          <w:sz w:val="22"/>
          <w:szCs w:val="22"/>
          <w:lang w:eastAsia="ja-JP"/>
        </w:rPr>
        <w:t xml:space="preserve"> [</w:t>
      </w:r>
      <w:r w:rsidR="005C43E2">
        <w:rPr>
          <w:rFonts w:eastAsia="MS Gothic"/>
          <w:sz w:val="22"/>
          <w:szCs w:val="22"/>
          <w:lang w:eastAsia="ja-JP"/>
        </w:rPr>
        <w:t>2</w:t>
      </w:r>
      <w:r w:rsidR="00EB75F5">
        <w:rPr>
          <w:rFonts w:eastAsia="MS Gothic"/>
          <w:sz w:val="22"/>
          <w:szCs w:val="22"/>
          <w:lang w:eastAsia="ja-JP"/>
        </w:rPr>
        <w:t xml:space="preserve">]. </w:t>
      </w:r>
    </w:p>
    <w:p w14:paraId="0BE7F55B" w14:textId="1C0F3876" w:rsidR="00C00FCE" w:rsidRPr="00C00FCE" w:rsidRDefault="00C00FCE" w:rsidP="00C00FCE">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As captured in the work item</w:t>
      </w:r>
      <w:r w:rsidR="007839B6">
        <w:rPr>
          <w:rFonts w:eastAsia="MS Gothic"/>
          <w:sz w:val="22"/>
          <w:szCs w:val="22"/>
          <w:lang w:eastAsia="ja-JP"/>
        </w:rPr>
        <w:t xml:space="preserve"> description</w:t>
      </w:r>
      <w:r>
        <w:rPr>
          <w:rFonts w:eastAsia="MS Gothic"/>
          <w:sz w:val="22"/>
          <w:szCs w:val="22"/>
          <w:lang w:eastAsia="ja-JP"/>
        </w:rPr>
        <w:t>, there is to be a</w:t>
      </w:r>
      <w:r w:rsidRPr="00C00FCE">
        <w:rPr>
          <w:rFonts w:eastAsia="MS Gothic"/>
          <w:bCs/>
          <w:sz w:val="22"/>
          <w:szCs w:val="22"/>
          <w:lang w:val="en-US" w:eastAsia="ja-JP"/>
        </w:rPr>
        <w:t xml:space="preserve"> one quarter study phase to identify and document coexistence requirements for the new band</w:t>
      </w:r>
      <w:r>
        <w:rPr>
          <w:rFonts w:eastAsia="MS Gothic"/>
          <w:bCs/>
          <w:sz w:val="22"/>
          <w:szCs w:val="22"/>
          <w:lang w:val="en-US" w:eastAsia="ja-JP"/>
        </w:rPr>
        <w:t xml:space="preserve"> with the following description:</w:t>
      </w:r>
    </w:p>
    <w:p w14:paraId="5CBC5788" w14:textId="77777777" w:rsidR="00C00FCE" w:rsidRPr="00C00FCE" w:rsidRDefault="00C00FCE" w:rsidP="00E33FCB">
      <w:pPr>
        <w:widowControl w:val="0"/>
        <w:tabs>
          <w:tab w:val="left" w:pos="0"/>
        </w:tabs>
        <w:spacing w:before="240" w:after="120"/>
        <w:ind w:left="644"/>
        <w:jc w:val="both"/>
        <w:outlineLvl w:val="0"/>
        <w:rPr>
          <w:rFonts w:eastAsia="MS Gothic"/>
          <w:i/>
          <w:iCs/>
          <w:sz w:val="22"/>
          <w:szCs w:val="22"/>
          <w:lang w:val="en-US" w:eastAsia="ja-JP"/>
        </w:rPr>
      </w:pPr>
      <w:r w:rsidRPr="00C00FCE">
        <w:rPr>
          <w:rFonts w:eastAsia="MS Gothic"/>
          <w:i/>
          <w:iCs/>
          <w:sz w:val="22"/>
          <w:szCs w:val="22"/>
          <w:lang w:val="en-US" w:eastAsia="ja-JP"/>
        </w:rPr>
        <w:t xml:space="preserve">Study coexistence issues with adjacent spectrum and other users of the 4940-4990 MHz band. </w:t>
      </w:r>
    </w:p>
    <w:p w14:paraId="4076F471" w14:textId="77777777" w:rsidR="00C00FCE" w:rsidRPr="00C00FCE" w:rsidRDefault="00C00FCE" w:rsidP="00C00FCE">
      <w:pPr>
        <w:widowControl w:val="0"/>
        <w:numPr>
          <w:ilvl w:val="2"/>
          <w:numId w:val="48"/>
        </w:numPr>
        <w:tabs>
          <w:tab w:val="left" w:pos="0"/>
        </w:tabs>
        <w:spacing w:before="240" w:after="120"/>
        <w:jc w:val="both"/>
        <w:outlineLvl w:val="0"/>
        <w:rPr>
          <w:rFonts w:eastAsia="MS Gothic"/>
          <w:i/>
          <w:iCs/>
          <w:sz w:val="22"/>
          <w:szCs w:val="22"/>
          <w:lang w:val="en-US" w:eastAsia="ja-JP"/>
        </w:rPr>
      </w:pPr>
      <w:bookmarkStart w:id="2" w:name="_Hlk205680339"/>
      <w:bookmarkStart w:id="3" w:name="_Hlk205680256"/>
      <w:r w:rsidRPr="00C00FCE">
        <w:rPr>
          <w:rFonts w:eastAsia="MS Gothic"/>
          <w:i/>
          <w:iCs/>
          <w:sz w:val="22"/>
          <w:szCs w:val="22"/>
          <w:lang w:val="en-US" w:eastAsia="ja-JP"/>
        </w:rPr>
        <w:t>Identify adjacent spectrum protection requirements</w:t>
      </w:r>
      <w:bookmarkEnd w:id="2"/>
    </w:p>
    <w:bookmarkEnd w:id="3"/>
    <w:p w14:paraId="2E8C6C71" w14:textId="77777777" w:rsidR="00C00FCE" w:rsidRPr="00C00FCE" w:rsidRDefault="00C00FCE" w:rsidP="00C00FCE">
      <w:pPr>
        <w:widowControl w:val="0"/>
        <w:numPr>
          <w:ilvl w:val="3"/>
          <w:numId w:val="48"/>
        </w:numPr>
        <w:tabs>
          <w:tab w:val="left" w:pos="0"/>
        </w:tabs>
        <w:spacing w:before="240" w:after="120"/>
        <w:jc w:val="both"/>
        <w:outlineLvl w:val="0"/>
        <w:rPr>
          <w:rFonts w:eastAsia="MS Gothic"/>
          <w:i/>
          <w:iCs/>
          <w:sz w:val="22"/>
          <w:szCs w:val="22"/>
          <w:lang w:val="en-US" w:eastAsia="ja-JP"/>
        </w:rPr>
      </w:pPr>
      <w:r w:rsidRPr="00C00FCE">
        <w:rPr>
          <w:rFonts w:eastAsia="MS Gothic"/>
          <w:i/>
          <w:iCs/>
          <w:sz w:val="22"/>
          <w:szCs w:val="22"/>
          <w:lang w:val="en-US" w:eastAsia="ja-JP"/>
        </w:rPr>
        <w:t xml:space="preserve">Identify any potential emission limits more stringent than the normal BS and UE emission masks </w:t>
      </w:r>
    </w:p>
    <w:p w14:paraId="5C28F946" w14:textId="77777777" w:rsidR="00C00FCE" w:rsidRPr="00C00FCE" w:rsidRDefault="00C00FCE" w:rsidP="00C00FCE">
      <w:pPr>
        <w:widowControl w:val="0"/>
        <w:numPr>
          <w:ilvl w:val="2"/>
          <w:numId w:val="48"/>
        </w:numPr>
        <w:tabs>
          <w:tab w:val="left" w:pos="0"/>
        </w:tabs>
        <w:spacing w:before="240" w:after="120"/>
        <w:jc w:val="both"/>
        <w:outlineLvl w:val="0"/>
        <w:rPr>
          <w:rFonts w:eastAsia="MS Gothic"/>
          <w:i/>
          <w:iCs/>
          <w:sz w:val="22"/>
          <w:szCs w:val="22"/>
          <w:lang w:val="en-US" w:eastAsia="ja-JP"/>
        </w:rPr>
      </w:pPr>
      <w:r w:rsidRPr="00C00FCE">
        <w:rPr>
          <w:rFonts w:eastAsia="MS Gothic"/>
          <w:i/>
          <w:iCs/>
          <w:sz w:val="22"/>
          <w:szCs w:val="22"/>
          <w:lang w:val="en-US" w:eastAsia="ja-JP"/>
        </w:rPr>
        <w:t>Identify other technologies operating in the 4940-4990 MHz band</w:t>
      </w:r>
    </w:p>
    <w:p w14:paraId="2AEFE48C" w14:textId="77777777" w:rsidR="00C00FCE" w:rsidRPr="00C00FCE" w:rsidRDefault="00C00FCE" w:rsidP="00C00FCE">
      <w:pPr>
        <w:widowControl w:val="0"/>
        <w:numPr>
          <w:ilvl w:val="3"/>
          <w:numId w:val="48"/>
        </w:numPr>
        <w:tabs>
          <w:tab w:val="left" w:pos="0"/>
        </w:tabs>
        <w:spacing w:before="240" w:after="120"/>
        <w:jc w:val="both"/>
        <w:outlineLvl w:val="0"/>
        <w:rPr>
          <w:rFonts w:eastAsia="MS Gothic"/>
          <w:i/>
          <w:iCs/>
          <w:sz w:val="22"/>
          <w:szCs w:val="22"/>
          <w:lang w:val="en-US" w:eastAsia="ja-JP"/>
        </w:rPr>
      </w:pPr>
      <w:r w:rsidRPr="00C00FCE">
        <w:rPr>
          <w:rFonts w:eastAsia="MS Gothic"/>
          <w:i/>
          <w:iCs/>
          <w:sz w:val="22"/>
          <w:szCs w:val="22"/>
          <w:lang w:val="en-US" w:eastAsia="ja-JP"/>
        </w:rPr>
        <w:t>Identify potential coexistence mechanism(s)</w:t>
      </w:r>
    </w:p>
    <w:p w14:paraId="501F9AD6" w14:textId="77777777" w:rsidR="00C00FCE" w:rsidRPr="00C00FCE" w:rsidRDefault="00C00FCE" w:rsidP="00C00FCE">
      <w:pPr>
        <w:widowControl w:val="0"/>
        <w:numPr>
          <w:ilvl w:val="4"/>
          <w:numId w:val="48"/>
        </w:numPr>
        <w:tabs>
          <w:tab w:val="left" w:pos="0"/>
        </w:tabs>
        <w:spacing w:before="240" w:after="120"/>
        <w:jc w:val="both"/>
        <w:outlineLvl w:val="0"/>
        <w:rPr>
          <w:rFonts w:eastAsia="MS Gothic"/>
          <w:i/>
          <w:iCs/>
          <w:sz w:val="22"/>
          <w:szCs w:val="22"/>
          <w:lang w:val="en-US" w:eastAsia="ja-JP"/>
        </w:rPr>
      </w:pPr>
      <w:r w:rsidRPr="00C00FCE">
        <w:rPr>
          <w:rFonts w:eastAsia="MS Gothic"/>
          <w:i/>
          <w:iCs/>
          <w:sz w:val="22"/>
          <w:szCs w:val="22"/>
          <w:lang w:val="en-US" w:eastAsia="ja-JP"/>
        </w:rPr>
        <w:t>Frequency division sharing</w:t>
      </w:r>
    </w:p>
    <w:p w14:paraId="6783E49F" w14:textId="77777777" w:rsidR="00C00FCE" w:rsidRPr="00C00FCE" w:rsidRDefault="00C00FCE" w:rsidP="00C00FCE">
      <w:pPr>
        <w:widowControl w:val="0"/>
        <w:numPr>
          <w:ilvl w:val="4"/>
          <w:numId w:val="48"/>
        </w:numPr>
        <w:tabs>
          <w:tab w:val="left" w:pos="0"/>
        </w:tabs>
        <w:spacing w:before="240" w:after="120"/>
        <w:jc w:val="both"/>
        <w:outlineLvl w:val="0"/>
        <w:rPr>
          <w:rFonts w:eastAsia="MS Gothic"/>
          <w:i/>
          <w:iCs/>
          <w:sz w:val="22"/>
          <w:szCs w:val="22"/>
          <w:lang w:val="en-US" w:eastAsia="ja-JP"/>
        </w:rPr>
      </w:pPr>
      <w:r w:rsidRPr="00C00FCE">
        <w:rPr>
          <w:rFonts w:eastAsia="MS Gothic"/>
          <w:i/>
          <w:iCs/>
          <w:sz w:val="22"/>
          <w:szCs w:val="22"/>
          <w:lang w:val="en-US" w:eastAsia="ja-JP"/>
        </w:rPr>
        <w:t>Geographic separation</w:t>
      </w:r>
    </w:p>
    <w:p w14:paraId="49E6A2A5" w14:textId="77777777" w:rsidR="00C00FCE" w:rsidRPr="00C00FCE" w:rsidRDefault="00C00FCE" w:rsidP="00C00FCE">
      <w:pPr>
        <w:widowControl w:val="0"/>
        <w:numPr>
          <w:ilvl w:val="4"/>
          <w:numId w:val="48"/>
        </w:numPr>
        <w:tabs>
          <w:tab w:val="left" w:pos="0"/>
        </w:tabs>
        <w:spacing w:before="240" w:after="120"/>
        <w:jc w:val="both"/>
        <w:outlineLvl w:val="0"/>
        <w:rPr>
          <w:rFonts w:eastAsia="MS Gothic"/>
          <w:i/>
          <w:iCs/>
          <w:sz w:val="22"/>
          <w:szCs w:val="22"/>
          <w:lang w:val="en-US" w:eastAsia="ja-JP"/>
        </w:rPr>
      </w:pPr>
      <w:r w:rsidRPr="00C00FCE">
        <w:rPr>
          <w:rFonts w:eastAsia="MS Gothic"/>
          <w:i/>
          <w:iCs/>
          <w:sz w:val="22"/>
          <w:szCs w:val="22"/>
          <w:lang w:val="en-US" w:eastAsia="ja-JP"/>
        </w:rPr>
        <w:t>TDD synchronization</w:t>
      </w:r>
    </w:p>
    <w:p w14:paraId="78CF1E88" w14:textId="22A908A9" w:rsidR="0037090C" w:rsidRDefault="00C00FCE" w:rsidP="00DD12A4">
      <w:pPr>
        <w:widowControl w:val="0"/>
        <w:numPr>
          <w:ilvl w:val="3"/>
          <w:numId w:val="48"/>
        </w:numPr>
        <w:tabs>
          <w:tab w:val="left" w:pos="0"/>
        </w:tabs>
        <w:spacing w:before="240" w:after="120"/>
        <w:jc w:val="both"/>
        <w:outlineLvl w:val="0"/>
        <w:rPr>
          <w:rFonts w:eastAsia="MS Gothic"/>
          <w:i/>
          <w:iCs/>
          <w:sz w:val="22"/>
          <w:szCs w:val="22"/>
          <w:lang w:val="en-US" w:eastAsia="ja-JP"/>
        </w:rPr>
      </w:pPr>
      <w:r w:rsidRPr="00C00FCE">
        <w:rPr>
          <w:rFonts w:eastAsia="MS Gothic"/>
          <w:i/>
          <w:iCs/>
          <w:sz w:val="22"/>
          <w:szCs w:val="22"/>
          <w:lang w:val="en-US" w:eastAsia="ja-JP"/>
        </w:rPr>
        <w:t>Identify any potential emission limits more stringent than the normal BS and UE emission masks</w:t>
      </w:r>
    </w:p>
    <w:p w14:paraId="184ABE20" w14:textId="7788304A" w:rsidR="00DD12A4" w:rsidRPr="00DD12A4" w:rsidRDefault="00DD12A4" w:rsidP="00DD12A4">
      <w:pPr>
        <w:widowControl w:val="0"/>
        <w:tabs>
          <w:tab w:val="left" w:pos="0"/>
        </w:tabs>
        <w:spacing w:before="240" w:after="120"/>
        <w:jc w:val="both"/>
        <w:outlineLvl w:val="0"/>
        <w:rPr>
          <w:rFonts w:eastAsia="MS Gothic"/>
          <w:i/>
          <w:iCs/>
          <w:sz w:val="22"/>
          <w:szCs w:val="22"/>
          <w:lang w:val="en-US" w:eastAsia="ja-JP"/>
        </w:rPr>
      </w:pPr>
      <w:r>
        <w:rPr>
          <w:rFonts w:eastAsia="MS Gothic"/>
          <w:sz w:val="22"/>
          <w:szCs w:val="22"/>
          <w:lang w:eastAsia="ja-JP"/>
        </w:rPr>
        <w:t>In this contribution, we provide our views on these co-existence issues.</w:t>
      </w:r>
    </w:p>
    <w:p w14:paraId="6A8FFBA8" w14:textId="1ED8053A" w:rsidR="00D95CD7" w:rsidRDefault="004635D9" w:rsidP="00462FF7">
      <w:pPr>
        <w:pStyle w:val="Heading4"/>
        <w:numPr>
          <w:ilvl w:val="0"/>
          <w:numId w:val="20"/>
        </w:numPr>
        <w:rPr>
          <w:b/>
          <w:bCs/>
          <w:sz w:val="28"/>
          <w:szCs w:val="22"/>
          <w:lang w:val="en-US" w:eastAsia="zh-CN"/>
        </w:rPr>
      </w:pPr>
      <w:r>
        <w:rPr>
          <w:b/>
          <w:bCs/>
          <w:sz w:val="28"/>
          <w:szCs w:val="22"/>
          <w:lang w:val="en-US" w:eastAsia="zh-CN"/>
        </w:rPr>
        <w:t>A</w:t>
      </w:r>
      <w:r w:rsidR="00D95CD7" w:rsidRPr="00C00FCE">
        <w:rPr>
          <w:b/>
          <w:bCs/>
          <w:sz w:val="28"/>
          <w:szCs w:val="22"/>
          <w:lang w:val="en-US" w:eastAsia="zh-CN"/>
        </w:rPr>
        <w:t>djacent spectrum protection requirements</w:t>
      </w:r>
    </w:p>
    <w:p w14:paraId="049DC19D" w14:textId="17326D92" w:rsidR="00C77B90" w:rsidRDefault="00D95CD7" w:rsidP="00D95CD7">
      <w:pPr>
        <w:rPr>
          <w:sz w:val="22"/>
          <w:szCs w:val="22"/>
          <w:lang w:val="en-US" w:eastAsia="zh-CN"/>
        </w:rPr>
      </w:pPr>
      <w:r>
        <w:rPr>
          <w:sz w:val="22"/>
          <w:szCs w:val="22"/>
          <w:lang w:val="en-US" w:eastAsia="zh-CN"/>
        </w:rPr>
        <w:t xml:space="preserve">Generally, only regional regulatory requirements are addressed in 3GPP </w:t>
      </w:r>
      <w:r w:rsidR="00223AED">
        <w:rPr>
          <w:sz w:val="22"/>
          <w:szCs w:val="22"/>
          <w:lang w:val="en-US" w:eastAsia="zh-CN"/>
        </w:rPr>
        <w:t>specifications,</w:t>
      </w:r>
      <w:r>
        <w:rPr>
          <w:sz w:val="22"/>
          <w:szCs w:val="22"/>
          <w:lang w:val="en-US" w:eastAsia="zh-CN"/>
        </w:rPr>
        <w:t xml:space="preserve"> and these emissions requirements are typically addressed during the normative phase using A-MPR.  No regulatory requirements have been identified for the spectrum adjacent to 4940 – 4990 </w:t>
      </w:r>
      <w:proofErr w:type="spellStart"/>
      <w:r>
        <w:rPr>
          <w:sz w:val="22"/>
          <w:szCs w:val="22"/>
          <w:lang w:val="en-US" w:eastAsia="zh-CN"/>
        </w:rPr>
        <w:t>MHz.</w:t>
      </w:r>
      <w:proofErr w:type="spellEnd"/>
      <w:r w:rsidR="00223AED">
        <w:rPr>
          <w:sz w:val="22"/>
          <w:szCs w:val="22"/>
          <w:lang w:val="en-US" w:eastAsia="zh-CN"/>
        </w:rPr>
        <w:t xml:space="preserve"> </w:t>
      </w:r>
      <w:r w:rsidR="00C77B90">
        <w:rPr>
          <w:sz w:val="22"/>
          <w:szCs w:val="22"/>
          <w:lang w:val="en-US" w:eastAsia="zh-CN"/>
        </w:rPr>
        <w:t>Currently, no NS</w:t>
      </w:r>
      <w:r w:rsidR="00D23FA1">
        <w:rPr>
          <w:sz w:val="22"/>
          <w:szCs w:val="22"/>
          <w:lang w:val="en-US" w:eastAsia="zh-CN"/>
        </w:rPr>
        <w:t>-</w:t>
      </w:r>
      <w:r w:rsidR="00C77B90">
        <w:rPr>
          <w:sz w:val="22"/>
          <w:szCs w:val="22"/>
          <w:lang w:val="en-US" w:eastAsia="zh-CN"/>
        </w:rPr>
        <w:lastRenderedPageBreak/>
        <w:t>signaled additional emission requirements exist for band n79</w:t>
      </w:r>
      <w:r w:rsidR="00D23FA1">
        <w:rPr>
          <w:sz w:val="22"/>
          <w:szCs w:val="22"/>
          <w:lang w:val="en-US" w:eastAsia="zh-CN"/>
        </w:rPr>
        <w:t xml:space="preserve"> (4400 – 5000 MHz)</w:t>
      </w:r>
      <w:r w:rsidR="00A86438">
        <w:rPr>
          <w:sz w:val="22"/>
          <w:szCs w:val="22"/>
          <w:lang w:val="en-US" w:eastAsia="zh-CN"/>
        </w:rPr>
        <w:t>,</w:t>
      </w:r>
      <w:r w:rsidR="00C77B90">
        <w:rPr>
          <w:sz w:val="22"/>
          <w:szCs w:val="22"/>
          <w:lang w:val="en-US" w:eastAsia="zh-CN"/>
        </w:rPr>
        <w:t xml:space="preserve"> which includes the 4940 – 4990 MHz spectrum as a subset.</w:t>
      </w:r>
    </w:p>
    <w:p w14:paraId="03C998A5" w14:textId="5D271D57" w:rsidR="001B0DB9" w:rsidRDefault="001B0DB9" w:rsidP="00D95CD7">
      <w:pPr>
        <w:rPr>
          <w:sz w:val="22"/>
          <w:szCs w:val="22"/>
          <w:lang w:eastAsia="zh-CN"/>
        </w:rPr>
      </w:pPr>
      <w:r>
        <w:rPr>
          <w:sz w:val="22"/>
          <w:szCs w:val="22"/>
          <w:lang w:eastAsia="zh-CN"/>
        </w:rPr>
        <w:t>The emissions mask</w:t>
      </w:r>
      <w:r w:rsidR="00663772">
        <w:rPr>
          <w:sz w:val="22"/>
          <w:szCs w:val="22"/>
          <w:lang w:eastAsia="zh-CN"/>
        </w:rPr>
        <w:t>s</w:t>
      </w:r>
      <w:r w:rsidR="00A130E4">
        <w:rPr>
          <w:sz w:val="22"/>
          <w:szCs w:val="22"/>
          <w:lang w:eastAsia="zh-CN"/>
        </w:rPr>
        <w:t xml:space="preserve"> </w:t>
      </w:r>
      <w:r w:rsidR="006D7FD3">
        <w:rPr>
          <w:sz w:val="22"/>
          <w:szCs w:val="22"/>
          <w:lang w:eastAsia="zh-CN"/>
        </w:rPr>
        <w:t xml:space="preserve">for </w:t>
      </w:r>
      <w:r w:rsidR="00A130E4">
        <w:rPr>
          <w:sz w:val="22"/>
          <w:szCs w:val="22"/>
          <w:lang w:eastAsia="zh-CN"/>
        </w:rPr>
        <w:t xml:space="preserve">4940 – 4990 MHz </w:t>
      </w:r>
      <w:r w:rsidR="006D7FD3">
        <w:rPr>
          <w:sz w:val="22"/>
          <w:szCs w:val="22"/>
          <w:lang w:eastAsia="zh-CN"/>
        </w:rPr>
        <w:t>are</w:t>
      </w:r>
      <w:r w:rsidR="00A130E4">
        <w:rPr>
          <w:sz w:val="22"/>
          <w:szCs w:val="22"/>
          <w:lang w:eastAsia="zh-CN"/>
        </w:rPr>
        <w:t xml:space="preserve"> defined in Part 90 Subpart I </w:t>
      </w:r>
      <w:r w:rsidR="00F74DEF" w:rsidRPr="00223AED">
        <w:rPr>
          <w:sz w:val="22"/>
          <w:szCs w:val="22"/>
          <w:lang w:eastAsia="zh-CN"/>
        </w:rPr>
        <w:t>§</w:t>
      </w:r>
      <w:r w:rsidR="00F74DEF">
        <w:rPr>
          <w:sz w:val="22"/>
          <w:szCs w:val="22"/>
          <w:lang w:eastAsia="zh-CN"/>
        </w:rPr>
        <w:t xml:space="preserve"> </w:t>
      </w:r>
      <w:r w:rsidR="00A130E4" w:rsidRPr="00A130E4">
        <w:rPr>
          <w:sz w:val="22"/>
          <w:szCs w:val="22"/>
          <w:lang w:eastAsia="zh-CN"/>
        </w:rPr>
        <w:t>90.210</w:t>
      </w:r>
      <w:r w:rsidR="00A130E4">
        <w:rPr>
          <w:sz w:val="22"/>
          <w:szCs w:val="22"/>
          <w:lang w:eastAsia="zh-CN"/>
        </w:rPr>
        <w:t>.  The mask for low</w:t>
      </w:r>
      <w:r w:rsidR="00663772">
        <w:rPr>
          <w:sz w:val="22"/>
          <w:szCs w:val="22"/>
          <w:lang w:eastAsia="zh-CN"/>
        </w:rPr>
        <w:t xml:space="preserve"> </w:t>
      </w:r>
      <w:r w:rsidR="00A130E4">
        <w:rPr>
          <w:sz w:val="22"/>
          <w:szCs w:val="22"/>
          <w:lang w:eastAsia="zh-CN"/>
        </w:rPr>
        <w:t>power emissions less than</w:t>
      </w:r>
      <w:r w:rsidR="00663772">
        <w:rPr>
          <w:sz w:val="22"/>
          <w:szCs w:val="22"/>
          <w:lang w:eastAsia="zh-CN"/>
        </w:rPr>
        <w:t xml:space="preserve"> or equal to</w:t>
      </w:r>
      <w:r w:rsidR="00A130E4">
        <w:rPr>
          <w:sz w:val="22"/>
          <w:szCs w:val="22"/>
          <w:lang w:eastAsia="zh-CN"/>
        </w:rPr>
        <w:t xml:space="preserve"> 20 dBm are defined in (l).  Specifically, we have</w:t>
      </w:r>
    </w:p>
    <w:p w14:paraId="09DC35A7" w14:textId="06135DEE" w:rsidR="00A130E4" w:rsidRDefault="0004770E" w:rsidP="0004770E">
      <w:pPr>
        <w:ind w:left="720" w:hanging="720"/>
        <w:rPr>
          <w:sz w:val="22"/>
          <w:szCs w:val="22"/>
          <w:lang w:eastAsia="zh-CN"/>
        </w:rPr>
      </w:pPr>
      <w:r w:rsidRPr="0004770E">
        <w:rPr>
          <w:i/>
          <w:iCs/>
          <w:sz w:val="22"/>
          <w:szCs w:val="22"/>
          <w:lang w:eastAsia="zh-CN"/>
        </w:rPr>
        <w:t>(</w:t>
      </w:r>
      <w:r>
        <w:rPr>
          <w:i/>
          <w:iCs/>
          <w:sz w:val="22"/>
          <w:szCs w:val="22"/>
          <w:lang w:eastAsia="zh-CN"/>
        </w:rPr>
        <w:t>l</w:t>
      </w:r>
      <w:r w:rsidRPr="0004770E">
        <w:rPr>
          <w:i/>
          <w:iCs/>
          <w:sz w:val="22"/>
          <w:szCs w:val="22"/>
          <w:lang w:eastAsia="zh-CN"/>
        </w:rPr>
        <w:t xml:space="preserve">) </w:t>
      </w:r>
      <w:r>
        <w:rPr>
          <w:i/>
          <w:iCs/>
          <w:sz w:val="22"/>
          <w:szCs w:val="22"/>
          <w:lang w:eastAsia="zh-CN"/>
        </w:rPr>
        <w:tab/>
      </w:r>
      <w:r w:rsidR="00A130E4" w:rsidRPr="00A130E4">
        <w:rPr>
          <w:b/>
          <w:bCs/>
          <w:i/>
          <w:iCs/>
          <w:sz w:val="22"/>
          <w:szCs w:val="22"/>
          <w:lang w:eastAsia="zh-CN"/>
        </w:rPr>
        <w:t>Emission Mask L.</w:t>
      </w:r>
      <w:r w:rsidR="00A130E4" w:rsidRPr="00A130E4">
        <w:rPr>
          <w:sz w:val="22"/>
          <w:szCs w:val="22"/>
          <w:lang w:eastAsia="zh-CN"/>
        </w:rPr>
        <w:t xml:space="preserve"> For low power transmitters (20 dBm or less) operating in the 4940-4990 MHz</w:t>
      </w:r>
      <w:r>
        <w:rPr>
          <w:sz w:val="22"/>
          <w:szCs w:val="22"/>
          <w:lang w:eastAsia="zh-CN"/>
        </w:rPr>
        <w:t xml:space="preserve"> </w:t>
      </w:r>
      <w:r w:rsidR="00A130E4" w:rsidRPr="00A130E4">
        <w:rPr>
          <w:sz w:val="22"/>
          <w:szCs w:val="22"/>
          <w:lang w:eastAsia="zh-CN"/>
        </w:rPr>
        <w:t>frequency band, the power spectral density of the emissions must be attenuated below the output power of the transmitter as follows:</w:t>
      </w:r>
      <w:r w:rsidR="005C43E2">
        <w:rPr>
          <w:sz w:val="22"/>
          <w:szCs w:val="22"/>
          <w:lang w:eastAsia="zh-CN"/>
        </w:rPr>
        <w:t xml:space="preserve"> …</w:t>
      </w:r>
    </w:p>
    <w:p w14:paraId="4291984C" w14:textId="4079B1CE" w:rsidR="00A130E4" w:rsidRDefault="00663772" w:rsidP="00D95CD7">
      <w:pPr>
        <w:rPr>
          <w:sz w:val="22"/>
          <w:szCs w:val="22"/>
          <w:lang w:eastAsia="zh-CN"/>
        </w:rPr>
      </w:pPr>
      <w:r>
        <w:rPr>
          <w:sz w:val="22"/>
          <w:szCs w:val="22"/>
          <w:lang w:eastAsia="zh-CN"/>
        </w:rPr>
        <w:t xml:space="preserve">The mask for high power emissions </w:t>
      </w:r>
      <w:r w:rsidR="0004770E">
        <w:rPr>
          <w:sz w:val="22"/>
          <w:szCs w:val="22"/>
          <w:lang w:eastAsia="zh-CN"/>
        </w:rPr>
        <w:t>greater than</w:t>
      </w:r>
      <w:r>
        <w:rPr>
          <w:sz w:val="22"/>
          <w:szCs w:val="22"/>
          <w:lang w:eastAsia="zh-CN"/>
        </w:rPr>
        <w:t xml:space="preserve"> 20 dBm are defined in (m).  Specifically, we have</w:t>
      </w:r>
    </w:p>
    <w:p w14:paraId="5C1CF2D4" w14:textId="36954482" w:rsidR="0004770E" w:rsidRDefault="0004770E" w:rsidP="0004770E">
      <w:pPr>
        <w:ind w:left="720" w:hanging="720"/>
        <w:rPr>
          <w:sz w:val="22"/>
          <w:szCs w:val="22"/>
          <w:lang w:eastAsia="zh-CN"/>
        </w:rPr>
      </w:pPr>
      <w:r w:rsidRPr="0004770E">
        <w:rPr>
          <w:i/>
          <w:iCs/>
          <w:sz w:val="22"/>
          <w:szCs w:val="22"/>
          <w:lang w:eastAsia="zh-CN"/>
        </w:rPr>
        <w:t xml:space="preserve">(m) </w:t>
      </w:r>
      <w:r w:rsidRPr="0004770E">
        <w:rPr>
          <w:i/>
          <w:iCs/>
          <w:sz w:val="22"/>
          <w:szCs w:val="22"/>
          <w:lang w:eastAsia="zh-CN"/>
        </w:rPr>
        <w:tab/>
      </w:r>
      <w:r w:rsidRPr="0004770E">
        <w:rPr>
          <w:b/>
          <w:bCs/>
          <w:i/>
          <w:iCs/>
          <w:sz w:val="22"/>
          <w:szCs w:val="22"/>
          <w:lang w:eastAsia="zh-CN"/>
        </w:rPr>
        <w:t>Emission Mask M</w:t>
      </w:r>
      <w:r w:rsidRPr="0004770E">
        <w:rPr>
          <w:sz w:val="22"/>
          <w:szCs w:val="22"/>
          <w:lang w:eastAsia="zh-CN"/>
        </w:rPr>
        <w:t>. For high power transmitters (greater that 20 dBm) operating in the 4940-4990 MHz frequency band, the power spectral density of the emissions must be attenuated below the output power of the transmitter as follows</w:t>
      </w:r>
      <w:r w:rsidR="00663772" w:rsidRPr="0004770E">
        <w:rPr>
          <w:sz w:val="22"/>
          <w:szCs w:val="22"/>
          <w:lang w:eastAsia="zh-CN"/>
        </w:rPr>
        <w:t>:</w:t>
      </w:r>
      <w:r w:rsidR="005C43E2">
        <w:rPr>
          <w:sz w:val="22"/>
          <w:szCs w:val="22"/>
          <w:lang w:eastAsia="zh-CN"/>
        </w:rPr>
        <w:t xml:space="preserve"> …</w:t>
      </w:r>
    </w:p>
    <w:p w14:paraId="03B9C375" w14:textId="39C1F91E" w:rsidR="00C77B90" w:rsidRDefault="00814408" w:rsidP="00F432C5">
      <w:pPr>
        <w:rPr>
          <w:sz w:val="22"/>
          <w:szCs w:val="22"/>
          <w:lang w:eastAsia="zh-CN"/>
        </w:rPr>
      </w:pPr>
      <w:r>
        <w:rPr>
          <w:sz w:val="22"/>
          <w:szCs w:val="22"/>
          <w:lang w:eastAsia="zh-CN"/>
        </w:rPr>
        <w:t xml:space="preserve">The emission requirements defined for the band </w:t>
      </w:r>
      <w:r w:rsidR="00B555DF">
        <w:rPr>
          <w:sz w:val="22"/>
          <w:szCs w:val="22"/>
          <w:lang w:eastAsia="zh-CN"/>
        </w:rPr>
        <w:t>during the</w:t>
      </w:r>
      <w:r>
        <w:rPr>
          <w:sz w:val="22"/>
          <w:szCs w:val="22"/>
          <w:lang w:eastAsia="zh-CN"/>
        </w:rPr>
        <w:t xml:space="preserve"> normative </w:t>
      </w:r>
      <w:r w:rsidR="00B555DF">
        <w:rPr>
          <w:sz w:val="22"/>
          <w:szCs w:val="22"/>
          <w:lang w:eastAsia="zh-CN"/>
        </w:rPr>
        <w:t>phase</w:t>
      </w:r>
      <w:r>
        <w:rPr>
          <w:sz w:val="22"/>
          <w:szCs w:val="22"/>
          <w:lang w:eastAsia="zh-CN"/>
        </w:rPr>
        <w:t xml:space="preserve"> must satisfy </w:t>
      </w:r>
      <w:r w:rsidR="005C43E2">
        <w:rPr>
          <w:sz w:val="22"/>
          <w:szCs w:val="22"/>
          <w:lang w:eastAsia="zh-CN"/>
        </w:rPr>
        <w:t xml:space="preserve">the </w:t>
      </w:r>
      <w:r>
        <w:rPr>
          <w:sz w:val="22"/>
          <w:szCs w:val="22"/>
          <w:lang w:eastAsia="zh-CN"/>
        </w:rPr>
        <w:t>mask corresponding to the power class of the device.</w:t>
      </w:r>
      <w:r w:rsidR="00B555DF">
        <w:rPr>
          <w:sz w:val="22"/>
          <w:szCs w:val="22"/>
          <w:lang w:eastAsia="zh-CN"/>
        </w:rPr>
        <w:t xml:space="preserve">  Alternatively, </w:t>
      </w:r>
      <w:r w:rsidR="00C64E6C">
        <w:rPr>
          <w:sz w:val="22"/>
          <w:szCs w:val="22"/>
          <w:lang w:eastAsia="zh-CN"/>
        </w:rPr>
        <w:t xml:space="preserve">a single emission mask can be defined which meets the requirements for both power classes.  </w:t>
      </w:r>
      <w:r w:rsidR="00F432C5">
        <w:rPr>
          <w:sz w:val="22"/>
          <w:szCs w:val="22"/>
          <w:lang w:eastAsia="zh-CN"/>
        </w:rPr>
        <w:t>Another alternative would be to use the g</w:t>
      </w:r>
      <w:r w:rsidR="00F432C5" w:rsidRPr="00F432C5">
        <w:rPr>
          <w:sz w:val="22"/>
          <w:szCs w:val="22"/>
          <w:lang w:eastAsia="zh-CN"/>
        </w:rPr>
        <w:t>eneral NR spectrum emission mask</w:t>
      </w:r>
      <w:r w:rsidR="00F432C5">
        <w:rPr>
          <w:sz w:val="22"/>
          <w:szCs w:val="22"/>
          <w:lang w:eastAsia="zh-CN"/>
        </w:rPr>
        <w:t xml:space="preserve"> defined in Table 6.5.2.2-1 of TS 38.101-1 if it can be shown to satisfy the emissions requirements of Mask L and Mask M.</w:t>
      </w:r>
    </w:p>
    <w:p w14:paraId="77A917DD" w14:textId="423F7C11" w:rsidR="00150A00" w:rsidRDefault="00150A00" w:rsidP="00F432C5">
      <w:pPr>
        <w:rPr>
          <w:sz w:val="22"/>
          <w:szCs w:val="22"/>
          <w:lang w:eastAsia="zh-CN"/>
        </w:rPr>
      </w:pPr>
      <w:r>
        <w:rPr>
          <w:sz w:val="22"/>
          <w:szCs w:val="22"/>
          <w:lang w:eastAsia="zh-CN"/>
        </w:rPr>
        <w:t>Based on the above, we have the following observations:</w:t>
      </w:r>
    </w:p>
    <w:p w14:paraId="1C3F96E2" w14:textId="088619D6" w:rsidR="00150A00" w:rsidRDefault="00150A00" w:rsidP="00F74DEF">
      <w:pPr>
        <w:ind w:left="1440" w:hanging="1440"/>
        <w:rPr>
          <w:sz w:val="22"/>
          <w:szCs w:val="22"/>
          <w:lang w:eastAsia="zh-CN"/>
        </w:rPr>
      </w:pPr>
      <w:r w:rsidRPr="007F2ED0">
        <w:rPr>
          <w:b/>
          <w:bCs/>
          <w:sz w:val="22"/>
          <w:szCs w:val="22"/>
          <w:lang w:eastAsia="zh-CN"/>
        </w:rPr>
        <w:t>Observation 1:</w:t>
      </w:r>
      <w:r w:rsidR="00F74DEF">
        <w:rPr>
          <w:sz w:val="22"/>
          <w:szCs w:val="22"/>
          <w:lang w:eastAsia="zh-CN"/>
        </w:rPr>
        <w:tab/>
      </w:r>
      <w:r>
        <w:rPr>
          <w:sz w:val="22"/>
          <w:szCs w:val="22"/>
          <w:lang w:eastAsia="zh-CN"/>
        </w:rPr>
        <w:t>No</w:t>
      </w:r>
      <w:r w:rsidR="00EE3257">
        <w:rPr>
          <w:sz w:val="22"/>
          <w:szCs w:val="22"/>
          <w:lang w:eastAsia="zh-CN"/>
        </w:rPr>
        <w:t xml:space="preserve"> extra</w:t>
      </w:r>
      <w:r>
        <w:rPr>
          <w:sz w:val="22"/>
          <w:szCs w:val="22"/>
          <w:lang w:eastAsia="zh-CN"/>
        </w:rPr>
        <w:t xml:space="preserve"> regulatory requirements have been identified adjacent to the 4940 – 4990 MHz</w:t>
      </w:r>
      <w:r w:rsidR="00F74DEF">
        <w:rPr>
          <w:sz w:val="22"/>
          <w:szCs w:val="22"/>
          <w:lang w:eastAsia="zh-CN"/>
        </w:rPr>
        <w:t xml:space="preserve"> </w:t>
      </w:r>
      <w:r w:rsidR="007B5B2A">
        <w:rPr>
          <w:sz w:val="22"/>
          <w:szCs w:val="22"/>
          <w:lang w:eastAsia="zh-CN"/>
        </w:rPr>
        <w:t xml:space="preserve">spectrum </w:t>
      </w:r>
      <w:r w:rsidR="00F74DEF">
        <w:rPr>
          <w:sz w:val="22"/>
          <w:szCs w:val="22"/>
          <w:lang w:eastAsia="zh-CN"/>
        </w:rPr>
        <w:t>in the U.S.</w:t>
      </w:r>
    </w:p>
    <w:p w14:paraId="4414525E" w14:textId="5895531F" w:rsidR="00150A00" w:rsidRPr="00150A00" w:rsidRDefault="00F74DEF" w:rsidP="00F74DEF">
      <w:pPr>
        <w:ind w:left="1440" w:hanging="1440"/>
        <w:rPr>
          <w:sz w:val="22"/>
          <w:szCs w:val="22"/>
          <w:lang w:eastAsia="zh-CN"/>
        </w:rPr>
      </w:pPr>
      <w:r w:rsidRPr="007F2ED0">
        <w:rPr>
          <w:b/>
          <w:bCs/>
          <w:sz w:val="22"/>
          <w:szCs w:val="22"/>
          <w:lang w:eastAsia="zh-CN"/>
        </w:rPr>
        <w:t>Observation 2:</w:t>
      </w:r>
      <w:r>
        <w:rPr>
          <w:sz w:val="22"/>
          <w:szCs w:val="22"/>
          <w:lang w:eastAsia="zh-CN"/>
        </w:rPr>
        <w:tab/>
        <w:t xml:space="preserve">The spectrum emission limits for </w:t>
      </w:r>
      <w:r w:rsidR="007B5B2A">
        <w:rPr>
          <w:sz w:val="22"/>
          <w:szCs w:val="22"/>
          <w:lang w:eastAsia="zh-CN"/>
        </w:rPr>
        <w:t>the 4940 – 4990 MHz</w:t>
      </w:r>
      <w:r>
        <w:rPr>
          <w:sz w:val="22"/>
          <w:szCs w:val="22"/>
          <w:lang w:eastAsia="zh-CN"/>
        </w:rPr>
        <w:t xml:space="preserve"> spectrum are defined in Part 90, Subpart I, </w:t>
      </w:r>
      <w:r w:rsidRPr="00223AED">
        <w:rPr>
          <w:sz w:val="22"/>
          <w:szCs w:val="22"/>
          <w:lang w:eastAsia="zh-CN"/>
        </w:rPr>
        <w:t>§</w:t>
      </w:r>
      <w:r>
        <w:rPr>
          <w:sz w:val="22"/>
          <w:szCs w:val="22"/>
          <w:lang w:eastAsia="zh-CN"/>
        </w:rPr>
        <w:t xml:space="preserve"> 90.210.  Emission Mask L applies for transmitters less than or equal to 20 dBm, and emission Mask M applies for transmitters greater than 20 dBm.</w:t>
      </w:r>
    </w:p>
    <w:p w14:paraId="5640DAE5" w14:textId="61359D66" w:rsidR="00462FF7" w:rsidRDefault="004635D9" w:rsidP="001D2F85">
      <w:pPr>
        <w:pStyle w:val="ListParagraph"/>
        <w:numPr>
          <w:ilvl w:val="0"/>
          <w:numId w:val="20"/>
        </w:numPr>
        <w:rPr>
          <w:rFonts w:ascii="Arial" w:eastAsia="SimSun" w:hAnsi="Arial"/>
          <w:b/>
          <w:bCs/>
          <w:sz w:val="28"/>
          <w:szCs w:val="22"/>
          <w:lang w:eastAsia="zh-CN"/>
        </w:rPr>
      </w:pPr>
      <w:r>
        <w:rPr>
          <w:rFonts w:ascii="Arial" w:eastAsia="SimSun" w:hAnsi="Arial"/>
          <w:b/>
          <w:bCs/>
          <w:sz w:val="28"/>
          <w:szCs w:val="22"/>
          <w:lang w:eastAsia="zh-CN"/>
        </w:rPr>
        <w:t>Other</w:t>
      </w:r>
      <w:r w:rsidR="001D2F85" w:rsidRPr="001D2F85">
        <w:rPr>
          <w:rFonts w:ascii="Arial" w:eastAsia="SimSun" w:hAnsi="Arial"/>
          <w:b/>
          <w:bCs/>
          <w:sz w:val="28"/>
          <w:szCs w:val="22"/>
          <w:lang w:eastAsia="zh-CN"/>
        </w:rPr>
        <w:t xml:space="preserve"> technologies operating in the 4940-4990 MHz band</w:t>
      </w:r>
    </w:p>
    <w:p w14:paraId="46D78EEA" w14:textId="11685F1A" w:rsidR="00D961C7" w:rsidRDefault="00D961C7" w:rsidP="00D961C7">
      <w:pPr>
        <w:rPr>
          <w:rFonts w:eastAsia="MS Gothic"/>
          <w:sz w:val="22"/>
          <w:szCs w:val="22"/>
          <w:lang w:eastAsia="ja-JP"/>
        </w:rPr>
      </w:pPr>
      <w:r>
        <w:rPr>
          <w:rFonts w:eastAsia="MS Gothic"/>
          <w:sz w:val="22"/>
          <w:szCs w:val="22"/>
          <w:lang w:val="en-US" w:eastAsia="ja-JP"/>
        </w:rPr>
        <w:t xml:space="preserve">In the U.S., the spectrum from 4940 – 4990 MHz is </w:t>
      </w:r>
      <w:r w:rsidR="004B0AE6">
        <w:rPr>
          <w:rFonts w:eastAsia="MS Gothic"/>
          <w:sz w:val="22"/>
          <w:szCs w:val="22"/>
          <w:lang w:val="en-US" w:eastAsia="ja-JP"/>
        </w:rPr>
        <w:t>licensed</w:t>
      </w:r>
      <w:r>
        <w:rPr>
          <w:rFonts w:eastAsia="MS Gothic"/>
          <w:sz w:val="22"/>
          <w:szCs w:val="22"/>
          <w:lang w:val="en-US" w:eastAsia="ja-JP"/>
        </w:rPr>
        <w:t xml:space="preserve"> for public safety</w:t>
      </w:r>
      <w:r w:rsidR="004B0AE6">
        <w:rPr>
          <w:rFonts w:eastAsia="MS Gothic"/>
          <w:sz w:val="22"/>
          <w:szCs w:val="22"/>
          <w:lang w:val="en-US" w:eastAsia="ja-JP"/>
        </w:rPr>
        <w:t xml:space="preserve"> use.  </w:t>
      </w:r>
      <w:r w:rsidR="004B0AE6" w:rsidRPr="004B0AE6">
        <w:rPr>
          <w:rFonts w:eastAsia="MS Gothic"/>
          <w:sz w:val="22"/>
          <w:szCs w:val="22"/>
          <w:lang w:eastAsia="ja-JP"/>
        </w:rPr>
        <w:t>Channels in this band licensed to any entity eligible under §</w:t>
      </w:r>
      <w:r w:rsidR="007A7AAE">
        <w:rPr>
          <w:rFonts w:eastAsia="MS Gothic"/>
          <w:sz w:val="22"/>
          <w:szCs w:val="22"/>
          <w:lang w:eastAsia="ja-JP"/>
        </w:rPr>
        <w:t xml:space="preserve"> </w:t>
      </w:r>
      <w:r w:rsidR="004B0AE6" w:rsidRPr="004B0AE6">
        <w:rPr>
          <w:rFonts w:eastAsia="MS Gothic"/>
          <w:sz w:val="22"/>
          <w:szCs w:val="22"/>
          <w:lang w:eastAsia="ja-JP"/>
        </w:rPr>
        <w:t>90.1203(a) are available on a shared basis only</w:t>
      </w:r>
      <w:r w:rsidR="007A7AAE">
        <w:rPr>
          <w:rFonts w:eastAsia="MS Gothic"/>
          <w:sz w:val="22"/>
          <w:szCs w:val="22"/>
          <w:lang w:eastAsia="ja-JP"/>
        </w:rPr>
        <w:t xml:space="preserve">.  From sections (e) and (f) of </w:t>
      </w:r>
      <w:r w:rsidR="007A7AAE" w:rsidRPr="004B0AE6">
        <w:rPr>
          <w:rFonts w:eastAsia="MS Gothic"/>
          <w:sz w:val="22"/>
          <w:szCs w:val="22"/>
          <w:lang w:eastAsia="ja-JP"/>
        </w:rPr>
        <w:t>§</w:t>
      </w:r>
      <w:r w:rsidR="007A7AAE">
        <w:rPr>
          <w:rFonts w:eastAsia="MS Gothic"/>
          <w:sz w:val="22"/>
          <w:szCs w:val="22"/>
          <w:lang w:eastAsia="ja-JP"/>
        </w:rPr>
        <w:t xml:space="preserve"> </w:t>
      </w:r>
      <w:r w:rsidR="007A7AAE" w:rsidRPr="007A7AAE">
        <w:rPr>
          <w:rFonts w:eastAsia="MS Gothic"/>
          <w:sz w:val="22"/>
          <w:szCs w:val="22"/>
          <w:lang w:eastAsia="ja-JP"/>
        </w:rPr>
        <w:t>90.1207</w:t>
      </w:r>
      <w:r w:rsidR="007A7AAE">
        <w:rPr>
          <w:rFonts w:eastAsia="MS Gothic"/>
          <w:sz w:val="22"/>
          <w:szCs w:val="22"/>
          <w:lang w:eastAsia="ja-JP"/>
        </w:rPr>
        <w:t>, the licenses must provide the following site-by-site information by June 9, 2025</w:t>
      </w:r>
      <w:r w:rsidR="00B74293">
        <w:rPr>
          <w:rFonts w:eastAsia="MS Gothic"/>
          <w:sz w:val="22"/>
          <w:szCs w:val="22"/>
          <w:lang w:eastAsia="ja-JP"/>
        </w:rPr>
        <w:t>,</w:t>
      </w:r>
      <w:r w:rsidR="007A7AAE">
        <w:rPr>
          <w:rFonts w:eastAsia="MS Gothic"/>
          <w:sz w:val="22"/>
          <w:szCs w:val="22"/>
          <w:lang w:eastAsia="ja-JP"/>
        </w:rPr>
        <w:t xml:space="preserve"> as indicated below.</w:t>
      </w:r>
    </w:p>
    <w:p w14:paraId="20D19828" w14:textId="0D4C4EBF" w:rsidR="007A7AAE" w:rsidRPr="007A7AAE" w:rsidRDefault="007A7AAE" w:rsidP="007A7AAE">
      <w:pPr>
        <w:spacing w:before="100" w:beforeAutospacing="1" w:after="100" w:afterAutospacing="1"/>
        <w:ind w:left="180"/>
        <w:rPr>
          <w:rFonts w:eastAsia="Times New Roman"/>
          <w:sz w:val="22"/>
          <w:szCs w:val="22"/>
          <w:lang w:val="en-US"/>
        </w:rPr>
      </w:pPr>
      <w:r w:rsidRPr="007A7AAE">
        <w:rPr>
          <w:rFonts w:eastAsia="Times New Roman"/>
          <w:sz w:val="22"/>
          <w:szCs w:val="22"/>
          <w:lang w:val="en-US"/>
        </w:rPr>
        <w:t xml:space="preserve">(f) Licensees holding active authorizations for the 4940-4990 MHz band on March 30, </w:t>
      </w:r>
      <w:proofErr w:type="gramStart"/>
      <w:r w:rsidRPr="007A7AAE">
        <w:rPr>
          <w:rFonts w:eastAsia="Times New Roman"/>
          <w:sz w:val="22"/>
          <w:szCs w:val="22"/>
          <w:lang w:val="en-US"/>
        </w:rPr>
        <w:t>2023</w:t>
      </w:r>
      <w:proofErr w:type="gramEnd"/>
      <w:r w:rsidRPr="007A7AAE">
        <w:rPr>
          <w:rFonts w:eastAsia="Times New Roman"/>
          <w:sz w:val="22"/>
          <w:szCs w:val="22"/>
          <w:lang w:val="en-US"/>
        </w:rPr>
        <w:t xml:space="preserve"> shall file the complete site-by-site information described in </w:t>
      </w:r>
      <w:r w:rsidRPr="007A7AAE">
        <w:rPr>
          <w:rFonts w:eastAsia="Times New Roman"/>
          <w:sz w:val="22"/>
          <w:szCs w:val="22"/>
          <w:u w:val="single"/>
          <w:lang w:val="en-US"/>
        </w:rPr>
        <w:t>paragraph (e)</w:t>
      </w:r>
      <w:r w:rsidRPr="007A7AAE">
        <w:rPr>
          <w:rFonts w:eastAsia="Times New Roman"/>
          <w:sz w:val="22"/>
          <w:szCs w:val="22"/>
          <w:lang w:val="en-US"/>
        </w:rPr>
        <w:t xml:space="preserve"> of this section for their existing radio systems in the Commission's Universal Licensing System by the compliance date specified in </w:t>
      </w:r>
      <w:r w:rsidRPr="007A7AAE">
        <w:rPr>
          <w:rFonts w:eastAsia="Times New Roman"/>
          <w:sz w:val="22"/>
          <w:szCs w:val="22"/>
          <w:u w:val="single"/>
          <w:lang w:val="en-US"/>
        </w:rPr>
        <w:t>paragraph (g)</w:t>
      </w:r>
      <w:r w:rsidRPr="007A7AAE">
        <w:rPr>
          <w:rFonts w:eastAsia="Times New Roman"/>
          <w:sz w:val="22"/>
          <w:szCs w:val="22"/>
          <w:lang w:val="en-US"/>
        </w:rPr>
        <w:t xml:space="preserve"> of this section.</w:t>
      </w:r>
    </w:p>
    <w:p w14:paraId="23C6F300" w14:textId="77777777" w:rsidR="007A7AAE" w:rsidRPr="00E7052F" w:rsidRDefault="007A7AAE" w:rsidP="007A7AAE">
      <w:pPr>
        <w:spacing w:before="100" w:beforeAutospacing="1" w:after="100" w:afterAutospacing="1"/>
        <w:ind w:left="180"/>
        <w:rPr>
          <w:rFonts w:eastAsia="Times New Roman"/>
          <w:sz w:val="22"/>
          <w:szCs w:val="22"/>
          <w:lang w:val="en-US"/>
        </w:rPr>
      </w:pPr>
      <w:r w:rsidRPr="007A7AAE">
        <w:rPr>
          <w:rFonts w:eastAsia="Times New Roman"/>
          <w:sz w:val="22"/>
          <w:szCs w:val="22"/>
          <w:lang w:val="en-US"/>
        </w:rPr>
        <w:t>(g) Compliance with paragraphs (e) and (f) in this section shall be required as of December 9, 2024. The deadline for submissions for licensees subject to paragraph (f) in this section is Monday, June 9, 2025.</w:t>
      </w:r>
    </w:p>
    <w:p w14:paraId="26E6F88A" w14:textId="1EF7C308" w:rsidR="00484C85" w:rsidRPr="00E7052F" w:rsidRDefault="00E30077" w:rsidP="00E30077">
      <w:pPr>
        <w:spacing w:before="100" w:beforeAutospacing="1" w:after="100" w:afterAutospacing="1"/>
        <w:rPr>
          <w:rFonts w:eastAsia="MS Gothic"/>
          <w:sz w:val="22"/>
          <w:szCs w:val="22"/>
          <w:lang w:eastAsia="ja-JP"/>
        </w:rPr>
      </w:pPr>
      <w:r w:rsidRPr="00E7052F">
        <w:rPr>
          <w:rFonts w:eastAsia="Times New Roman"/>
          <w:sz w:val="22"/>
          <w:szCs w:val="22"/>
          <w:lang w:val="en-US"/>
        </w:rPr>
        <w:t>Th</w:t>
      </w:r>
      <w:r w:rsidR="005C43E2">
        <w:rPr>
          <w:rFonts w:eastAsia="Times New Roman"/>
          <w:sz w:val="22"/>
          <w:szCs w:val="22"/>
          <w:lang w:val="en-US"/>
        </w:rPr>
        <w:t>e filing</w:t>
      </w:r>
      <w:r w:rsidRPr="00E7052F">
        <w:rPr>
          <w:rFonts w:eastAsia="Times New Roman"/>
          <w:sz w:val="22"/>
          <w:szCs w:val="22"/>
          <w:lang w:val="en-US"/>
        </w:rPr>
        <w:t xml:space="preserve"> date was subsequently extended to July 9, 2025.  Thus, all licensee data is now available</w:t>
      </w:r>
      <w:r w:rsidR="00EB4F75">
        <w:rPr>
          <w:rFonts w:eastAsia="Times New Roman"/>
          <w:sz w:val="22"/>
          <w:szCs w:val="22"/>
          <w:lang w:val="en-US"/>
        </w:rPr>
        <w:t xml:space="preserve"> [3]</w:t>
      </w:r>
      <w:r w:rsidRPr="00E7052F">
        <w:rPr>
          <w:rFonts w:eastAsia="Times New Roman"/>
          <w:sz w:val="22"/>
          <w:szCs w:val="22"/>
          <w:lang w:val="en-US"/>
        </w:rPr>
        <w:t>.</w:t>
      </w:r>
      <w:r w:rsidR="00B74293" w:rsidRPr="00E7052F">
        <w:rPr>
          <w:rFonts w:eastAsia="Times New Roman"/>
          <w:sz w:val="22"/>
          <w:szCs w:val="22"/>
          <w:lang w:val="en-US"/>
        </w:rPr>
        <w:t xml:space="preserve">  </w:t>
      </w:r>
      <w:r w:rsidR="00B74293" w:rsidRPr="00E7052F">
        <w:rPr>
          <w:rFonts w:eastAsia="MS Gothic"/>
          <w:sz w:val="22"/>
          <w:szCs w:val="22"/>
          <w:lang w:eastAsia="ja-JP"/>
        </w:rPr>
        <w:t>As of Oct 27, 2024, there were 3,676 license</w:t>
      </w:r>
      <w:r w:rsidR="00A86438" w:rsidRPr="00E7052F">
        <w:rPr>
          <w:rFonts w:eastAsia="MS Gothic"/>
          <w:sz w:val="22"/>
          <w:szCs w:val="22"/>
          <w:lang w:eastAsia="ja-JP"/>
        </w:rPr>
        <w:t>s issued in 4940 – 4950 MHz.</w:t>
      </w:r>
      <w:r w:rsidR="00484C85" w:rsidRPr="00E7052F">
        <w:rPr>
          <w:rFonts w:eastAsia="MS Gothic"/>
          <w:sz w:val="22"/>
          <w:szCs w:val="22"/>
          <w:lang w:eastAsia="ja-JP"/>
        </w:rPr>
        <w:t xml:space="preserve"> </w:t>
      </w:r>
      <w:r w:rsidR="00EB4F75">
        <w:rPr>
          <w:rFonts w:eastAsia="MS Gothic"/>
          <w:sz w:val="22"/>
          <w:szCs w:val="22"/>
          <w:lang w:eastAsia="ja-JP"/>
        </w:rPr>
        <w:t xml:space="preserve"> </w:t>
      </w:r>
      <w:r w:rsidR="00484C85" w:rsidRPr="00E7052F">
        <w:rPr>
          <w:rFonts w:eastAsia="MS Gothic"/>
          <w:sz w:val="22"/>
          <w:szCs w:val="22"/>
          <w:lang w:eastAsia="ja-JP"/>
        </w:rPr>
        <w:t>It should be noted that the licensing informa</w:t>
      </w:r>
      <w:r w:rsidR="00C00678" w:rsidRPr="00E7052F">
        <w:rPr>
          <w:rFonts w:eastAsia="MS Gothic"/>
          <w:sz w:val="22"/>
          <w:szCs w:val="22"/>
          <w:lang w:eastAsia="ja-JP"/>
        </w:rPr>
        <w:t>tion is extensive and is sufficient to allow for site and frequency coordination of incumbent licensees</w:t>
      </w:r>
      <w:r w:rsidR="00E7052F" w:rsidRPr="00E7052F">
        <w:rPr>
          <w:rFonts w:eastAsia="MS Gothic"/>
          <w:sz w:val="22"/>
          <w:szCs w:val="22"/>
          <w:lang w:eastAsia="ja-JP"/>
        </w:rPr>
        <w:t xml:space="preserve">.  The required </w:t>
      </w:r>
      <w:r w:rsidR="007B5B2A">
        <w:rPr>
          <w:rFonts w:eastAsia="MS Gothic"/>
          <w:sz w:val="22"/>
          <w:szCs w:val="22"/>
          <w:lang w:eastAsia="ja-JP"/>
        </w:rPr>
        <w:t xml:space="preserve">license </w:t>
      </w:r>
      <w:r w:rsidR="00E7052F" w:rsidRPr="00E7052F">
        <w:rPr>
          <w:rFonts w:eastAsia="MS Gothic"/>
          <w:sz w:val="22"/>
          <w:szCs w:val="22"/>
          <w:lang w:eastAsia="ja-JP"/>
        </w:rPr>
        <w:t>information is included in the Appendix.</w:t>
      </w:r>
    </w:p>
    <w:p w14:paraId="3A631CEC" w14:textId="3CB91180" w:rsidR="00E30077" w:rsidRPr="00E7052F" w:rsidRDefault="00E30077" w:rsidP="00E30077">
      <w:pPr>
        <w:spacing w:before="100" w:beforeAutospacing="1" w:after="100" w:afterAutospacing="1"/>
        <w:rPr>
          <w:rFonts w:eastAsia="MS Gothic"/>
          <w:sz w:val="22"/>
          <w:szCs w:val="22"/>
          <w:lang w:val="en-US" w:eastAsia="ja-JP"/>
        </w:rPr>
      </w:pPr>
      <w:r w:rsidRPr="00E7052F">
        <w:rPr>
          <w:rFonts w:eastAsia="Times New Roman"/>
          <w:sz w:val="22"/>
          <w:szCs w:val="22"/>
          <w:lang w:val="en-US"/>
        </w:rPr>
        <w:lastRenderedPageBreak/>
        <w:t>In the Seventh Report and Order (</w:t>
      </w:r>
      <w:r w:rsidRPr="00E7052F">
        <w:rPr>
          <w:rFonts w:eastAsia="Times New Roman"/>
          <w:sz w:val="22"/>
          <w:szCs w:val="22"/>
        </w:rPr>
        <w:t>WP Docket No. 07-100)</w:t>
      </w:r>
      <w:r w:rsidR="005C43E2">
        <w:rPr>
          <w:rFonts w:eastAsia="Times New Roman"/>
          <w:sz w:val="22"/>
          <w:szCs w:val="22"/>
        </w:rPr>
        <w:t xml:space="preserve"> [</w:t>
      </w:r>
      <w:r w:rsidR="00EB4F75">
        <w:rPr>
          <w:rFonts w:eastAsia="Times New Roman"/>
          <w:sz w:val="22"/>
          <w:szCs w:val="22"/>
        </w:rPr>
        <w:t>4</w:t>
      </w:r>
      <w:r w:rsidR="005C43E2">
        <w:rPr>
          <w:rFonts w:eastAsia="Times New Roman"/>
          <w:sz w:val="22"/>
          <w:szCs w:val="22"/>
        </w:rPr>
        <w:t>]</w:t>
      </w:r>
      <w:r w:rsidRPr="00E7052F">
        <w:rPr>
          <w:rFonts w:eastAsia="Times New Roman"/>
          <w:sz w:val="22"/>
          <w:szCs w:val="22"/>
        </w:rPr>
        <w:t>, the FCC adopted “a nationwide Band Manager “framework to coordinate operations in the 4.9 GHz band, optimize public safety use, and facilitate the integration of the latest commercially available technologies, including 5G, for the benefit of public safety.”</w:t>
      </w:r>
      <w:r w:rsidR="00B74293" w:rsidRPr="00E7052F">
        <w:rPr>
          <w:rFonts w:eastAsia="Times New Roman"/>
          <w:sz w:val="22"/>
          <w:szCs w:val="22"/>
        </w:rPr>
        <w:t xml:space="preserve">  The responsibilities of the Band Manager as given in </w:t>
      </w:r>
      <w:r w:rsidR="00A86438" w:rsidRPr="00E7052F">
        <w:rPr>
          <w:rFonts w:eastAsia="MS Gothic"/>
          <w:sz w:val="22"/>
          <w:szCs w:val="22"/>
          <w:lang w:val="en-US" w:eastAsia="ja-JP"/>
        </w:rPr>
        <w:t>§ 90.1217 include the following:</w:t>
      </w:r>
    </w:p>
    <w:p w14:paraId="35FC8BEC" w14:textId="77777777" w:rsidR="004635D9" w:rsidRPr="004635D9" w:rsidRDefault="004635D9" w:rsidP="004635D9">
      <w:pPr>
        <w:spacing w:before="100" w:beforeAutospacing="1" w:after="100" w:afterAutospacing="1"/>
        <w:ind w:left="360"/>
        <w:rPr>
          <w:rFonts w:eastAsia="Times New Roman"/>
          <w:sz w:val="22"/>
          <w:szCs w:val="22"/>
          <w:lang w:val="en-US"/>
        </w:rPr>
      </w:pPr>
      <w:r w:rsidRPr="004635D9">
        <w:rPr>
          <w:rFonts w:eastAsia="Times New Roman"/>
          <w:sz w:val="22"/>
          <w:szCs w:val="22"/>
          <w:lang w:val="en-US"/>
        </w:rPr>
        <w:t>§ 90.1217 4.9 GHz Band Manager.</w:t>
      </w:r>
    </w:p>
    <w:p w14:paraId="3490B66D" w14:textId="77777777" w:rsidR="004635D9" w:rsidRPr="004635D9" w:rsidRDefault="004635D9" w:rsidP="004635D9">
      <w:pPr>
        <w:spacing w:before="100" w:beforeAutospacing="1" w:after="100" w:afterAutospacing="1"/>
        <w:ind w:firstLine="360"/>
        <w:rPr>
          <w:rFonts w:eastAsia="Times New Roman"/>
          <w:sz w:val="22"/>
          <w:szCs w:val="22"/>
          <w:lang w:val="en-US"/>
        </w:rPr>
      </w:pPr>
      <w:r w:rsidRPr="004635D9">
        <w:rPr>
          <w:rFonts w:eastAsia="Times New Roman"/>
          <w:sz w:val="22"/>
          <w:szCs w:val="22"/>
          <w:lang w:val="en-US"/>
        </w:rPr>
        <w:t>The 4.9 GHz Band Manager will have the following primary responsibilities:</w:t>
      </w:r>
    </w:p>
    <w:p w14:paraId="2EB33756" w14:textId="77777777" w:rsidR="004635D9" w:rsidRPr="004635D9" w:rsidRDefault="004635D9" w:rsidP="004635D9">
      <w:pPr>
        <w:spacing w:before="100" w:beforeAutospacing="1" w:after="100" w:afterAutospacing="1"/>
        <w:ind w:left="720"/>
        <w:rPr>
          <w:rFonts w:eastAsia="Times New Roman"/>
          <w:sz w:val="22"/>
          <w:szCs w:val="22"/>
          <w:lang w:val="en-US"/>
        </w:rPr>
      </w:pPr>
      <w:r w:rsidRPr="004635D9">
        <w:rPr>
          <w:rFonts w:eastAsia="Times New Roman"/>
          <w:sz w:val="22"/>
          <w:szCs w:val="22"/>
          <w:lang w:val="en-US"/>
        </w:rPr>
        <w:t xml:space="preserve">(a) Frequency coordination and interference protection for 4.9 GHz band incumbent public safety </w:t>
      </w:r>
      <w:proofErr w:type="gramStart"/>
      <w:r w:rsidRPr="004635D9">
        <w:rPr>
          <w:rFonts w:eastAsia="Times New Roman"/>
          <w:sz w:val="22"/>
          <w:szCs w:val="22"/>
          <w:lang w:val="en-US"/>
        </w:rPr>
        <w:t>operations;</w:t>
      </w:r>
      <w:proofErr w:type="gramEnd"/>
    </w:p>
    <w:p w14:paraId="6FC7492B" w14:textId="196E3705" w:rsidR="00D961C7" w:rsidRPr="00E7052F" w:rsidRDefault="004635D9" w:rsidP="004635D9">
      <w:pPr>
        <w:spacing w:before="100" w:beforeAutospacing="1" w:after="100" w:afterAutospacing="1"/>
        <w:ind w:firstLine="720"/>
        <w:rPr>
          <w:rFonts w:eastAsia="Times New Roman"/>
          <w:sz w:val="22"/>
          <w:szCs w:val="22"/>
          <w:lang w:val="en-US"/>
        </w:rPr>
      </w:pPr>
      <w:r w:rsidRPr="004635D9">
        <w:rPr>
          <w:rFonts w:eastAsia="Times New Roman"/>
          <w:sz w:val="22"/>
          <w:szCs w:val="22"/>
          <w:lang w:val="en-US"/>
        </w:rPr>
        <w:t xml:space="preserve">(b) Incentivizing the use of the latest commercially available technologies, including </w:t>
      </w:r>
      <w:proofErr w:type="gramStart"/>
      <w:r w:rsidRPr="004635D9">
        <w:rPr>
          <w:rFonts w:eastAsia="Times New Roman"/>
          <w:sz w:val="22"/>
          <w:szCs w:val="22"/>
          <w:lang w:val="en-US"/>
        </w:rPr>
        <w:t>5G;</w:t>
      </w:r>
      <w:proofErr w:type="gramEnd"/>
    </w:p>
    <w:p w14:paraId="7420A4C7" w14:textId="15A9F1DC" w:rsidR="001A4349" w:rsidRPr="00E7052F" w:rsidRDefault="001A4349" w:rsidP="007B5B2A">
      <w:pPr>
        <w:spacing w:before="100" w:beforeAutospacing="1" w:after="100" w:afterAutospacing="1"/>
        <w:ind w:left="1620" w:hanging="1620"/>
        <w:rPr>
          <w:rFonts w:eastAsia="Times New Roman"/>
          <w:sz w:val="22"/>
          <w:szCs w:val="22"/>
          <w:lang w:val="en-US"/>
        </w:rPr>
      </w:pPr>
      <w:r w:rsidRPr="00E7052F">
        <w:rPr>
          <w:rFonts w:eastAsia="Times New Roman"/>
          <w:b/>
          <w:bCs/>
          <w:sz w:val="22"/>
          <w:szCs w:val="22"/>
          <w:lang w:val="en-US"/>
        </w:rPr>
        <w:t>Observation 3:</w:t>
      </w:r>
      <w:r w:rsidR="007F2ED0" w:rsidRPr="00E7052F">
        <w:rPr>
          <w:rFonts w:eastAsia="Times New Roman"/>
          <w:sz w:val="22"/>
          <w:szCs w:val="22"/>
          <w:lang w:val="en-US"/>
        </w:rPr>
        <w:t xml:space="preserve">  </w:t>
      </w:r>
      <w:r w:rsidRPr="00E7052F">
        <w:rPr>
          <w:rFonts w:eastAsia="Times New Roman"/>
          <w:sz w:val="22"/>
          <w:szCs w:val="22"/>
          <w:lang w:val="en-US"/>
        </w:rPr>
        <w:t>Currently only public safety</w:t>
      </w:r>
      <w:r w:rsidR="007F2ED0" w:rsidRPr="00E7052F">
        <w:rPr>
          <w:rFonts w:eastAsia="Times New Roman"/>
          <w:sz w:val="22"/>
          <w:szCs w:val="22"/>
          <w:lang w:val="en-US"/>
        </w:rPr>
        <w:t xml:space="preserve"> is licensed to operate in</w:t>
      </w:r>
      <w:r w:rsidR="007B5B2A">
        <w:rPr>
          <w:rFonts w:eastAsia="Times New Roman"/>
          <w:sz w:val="22"/>
          <w:szCs w:val="22"/>
          <w:lang w:val="en-US"/>
        </w:rPr>
        <w:t xml:space="preserve"> </w:t>
      </w:r>
      <w:r w:rsidR="007F2ED0" w:rsidRPr="00E7052F">
        <w:rPr>
          <w:rFonts w:eastAsia="Times New Roman"/>
          <w:sz w:val="22"/>
          <w:szCs w:val="22"/>
          <w:lang w:val="en-US"/>
        </w:rPr>
        <w:t>4940 – 4990 MHz</w:t>
      </w:r>
      <w:r w:rsidR="007B5B2A">
        <w:rPr>
          <w:rFonts w:eastAsia="Times New Roman"/>
          <w:sz w:val="22"/>
          <w:szCs w:val="22"/>
          <w:lang w:val="en-US"/>
        </w:rPr>
        <w:t xml:space="preserve"> spectrum in the U.S.</w:t>
      </w:r>
    </w:p>
    <w:p w14:paraId="387B6493" w14:textId="19D33549" w:rsidR="001A4349" w:rsidRPr="00E7052F" w:rsidRDefault="001A4349" w:rsidP="001A4349">
      <w:pPr>
        <w:spacing w:before="100" w:beforeAutospacing="1" w:after="100" w:afterAutospacing="1"/>
        <w:rPr>
          <w:rFonts w:eastAsia="Times New Roman"/>
          <w:sz w:val="22"/>
          <w:szCs w:val="22"/>
          <w:lang w:val="en-US"/>
        </w:rPr>
      </w:pPr>
      <w:r w:rsidRPr="00E7052F">
        <w:rPr>
          <w:rFonts w:eastAsia="Times New Roman"/>
          <w:b/>
          <w:bCs/>
          <w:sz w:val="22"/>
          <w:szCs w:val="22"/>
          <w:lang w:val="en-US"/>
        </w:rPr>
        <w:t>Observation 4:</w:t>
      </w:r>
      <w:r w:rsidR="007F2ED0" w:rsidRPr="00E7052F">
        <w:rPr>
          <w:rFonts w:eastAsia="Times New Roman"/>
          <w:sz w:val="22"/>
          <w:szCs w:val="22"/>
          <w:lang w:val="en-US"/>
        </w:rPr>
        <w:t xml:space="preserve">  All licensee data for the 4940 – 4990 MHz </w:t>
      </w:r>
      <w:r w:rsidR="007B5B2A">
        <w:rPr>
          <w:rFonts w:eastAsia="Times New Roman"/>
          <w:sz w:val="22"/>
          <w:szCs w:val="22"/>
          <w:lang w:val="en-US"/>
        </w:rPr>
        <w:t xml:space="preserve">spectrum </w:t>
      </w:r>
      <w:r w:rsidR="007F2ED0" w:rsidRPr="00E7052F">
        <w:rPr>
          <w:rFonts w:eastAsia="Times New Roman"/>
          <w:sz w:val="22"/>
          <w:szCs w:val="22"/>
          <w:lang w:val="en-US"/>
        </w:rPr>
        <w:t>is available as of July 9, 2025.</w:t>
      </w:r>
    </w:p>
    <w:p w14:paraId="34A948AA" w14:textId="02F94BC8" w:rsidR="00D4238A" w:rsidRDefault="007F2ED0" w:rsidP="007F2ED0">
      <w:pPr>
        <w:spacing w:before="100" w:beforeAutospacing="1" w:after="100" w:afterAutospacing="1"/>
        <w:ind w:left="1620" w:hanging="1620"/>
        <w:rPr>
          <w:rFonts w:eastAsia="Times New Roman"/>
          <w:sz w:val="22"/>
          <w:szCs w:val="22"/>
          <w:lang w:val="en-US"/>
        </w:rPr>
      </w:pPr>
      <w:r w:rsidRPr="00E7052F">
        <w:rPr>
          <w:rFonts w:eastAsia="Times New Roman"/>
          <w:b/>
          <w:bCs/>
          <w:sz w:val="22"/>
          <w:szCs w:val="22"/>
          <w:lang w:val="en-US"/>
        </w:rPr>
        <w:t>Observation 5:</w:t>
      </w:r>
      <w:r w:rsidRPr="00E7052F">
        <w:rPr>
          <w:rFonts w:eastAsia="Times New Roman"/>
          <w:sz w:val="22"/>
          <w:szCs w:val="22"/>
          <w:lang w:val="en-US"/>
        </w:rPr>
        <w:t xml:space="preserve">  The 4.9 GHz Band Manager has responsibility for frequency coordination interference protection for 4.9 GHz band incumbent public safety operati</w:t>
      </w:r>
      <w:r w:rsidR="007B5B2A">
        <w:rPr>
          <w:rFonts w:eastAsia="Times New Roman"/>
          <w:sz w:val="22"/>
          <w:szCs w:val="22"/>
          <w:lang w:val="en-US"/>
        </w:rPr>
        <w:t>on.</w:t>
      </w:r>
    </w:p>
    <w:p w14:paraId="52D44D9B" w14:textId="332AFB6A" w:rsidR="007F2ED0" w:rsidRDefault="00DD12A4" w:rsidP="007F2ED0">
      <w:pPr>
        <w:pStyle w:val="Heading4"/>
        <w:numPr>
          <w:ilvl w:val="0"/>
          <w:numId w:val="20"/>
        </w:numPr>
        <w:rPr>
          <w:b/>
          <w:bCs/>
          <w:sz w:val="28"/>
          <w:szCs w:val="22"/>
          <w:lang w:eastAsia="zh-CN"/>
        </w:rPr>
      </w:pPr>
      <w:r>
        <w:rPr>
          <w:b/>
          <w:bCs/>
          <w:sz w:val="28"/>
          <w:szCs w:val="22"/>
          <w:lang w:eastAsia="zh-CN"/>
        </w:rPr>
        <w:t>Summary</w:t>
      </w:r>
    </w:p>
    <w:p w14:paraId="5D0AA4D0" w14:textId="0A55B098" w:rsidR="00114582" w:rsidRDefault="007B5B2A" w:rsidP="00E7052F">
      <w:pPr>
        <w:tabs>
          <w:tab w:val="left" w:pos="1710"/>
        </w:tabs>
        <w:rPr>
          <w:sz w:val="22"/>
          <w:szCs w:val="22"/>
          <w:lang w:eastAsia="zh-CN"/>
        </w:rPr>
      </w:pPr>
      <w:r>
        <w:rPr>
          <w:sz w:val="22"/>
          <w:szCs w:val="22"/>
          <w:lang w:eastAsia="zh-CN"/>
        </w:rPr>
        <w:t xml:space="preserve">Based on the observations above, it seems that </w:t>
      </w:r>
      <w:r w:rsidR="00114582">
        <w:rPr>
          <w:sz w:val="22"/>
          <w:szCs w:val="22"/>
          <w:lang w:eastAsia="zh-CN"/>
        </w:rPr>
        <w:t>co-existence issues are well understood.  In summary:</w:t>
      </w:r>
    </w:p>
    <w:p w14:paraId="0D924352" w14:textId="435E4D65" w:rsidR="00114582" w:rsidRPr="00114582" w:rsidRDefault="00114582" w:rsidP="00D233E3">
      <w:pPr>
        <w:pStyle w:val="ListParagraph"/>
        <w:numPr>
          <w:ilvl w:val="0"/>
          <w:numId w:val="50"/>
        </w:numPr>
        <w:tabs>
          <w:tab w:val="left" w:pos="1710"/>
        </w:tabs>
        <w:contextualSpacing w:val="0"/>
        <w:rPr>
          <w:sz w:val="22"/>
          <w:szCs w:val="22"/>
          <w:lang w:eastAsia="zh-CN"/>
        </w:rPr>
      </w:pPr>
      <w:r w:rsidRPr="00114582">
        <w:rPr>
          <w:sz w:val="22"/>
          <w:szCs w:val="22"/>
          <w:lang w:eastAsia="zh-CN"/>
        </w:rPr>
        <w:t xml:space="preserve">No </w:t>
      </w:r>
      <w:r w:rsidR="00EE3257">
        <w:rPr>
          <w:sz w:val="22"/>
          <w:szCs w:val="22"/>
          <w:lang w:eastAsia="zh-CN"/>
        </w:rPr>
        <w:t xml:space="preserve">extra </w:t>
      </w:r>
      <w:r w:rsidRPr="00114582">
        <w:rPr>
          <w:sz w:val="22"/>
          <w:szCs w:val="22"/>
          <w:lang w:eastAsia="zh-CN"/>
        </w:rPr>
        <w:t>regulatory requirements have been identified adjacent to the 4940 – 4990 MHz spectrum in the U.S.</w:t>
      </w:r>
    </w:p>
    <w:p w14:paraId="487F6C74" w14:textId="00626CBC" w:rsidR="00114582" w:rsidRPr="00114582" w:rsidRDefault="00114582" w:rsidP="00D233E3">
      <w:pPr>
        <w:pStyle w:val="ListParagraph"/>
        <w:numPr>
          <w:ilvl w:val="0"/>
          <w:numId w:val="50"/>
        </w:numPr>
        <w:tabs>
          <w:tab w:val="left" w:pos="1710"/>
        </w:tabs>
        <w:contextualSpacing w:val="0"/>
        <w:rPr>
          <w:sz w:val="22"/>
          <w:szCs w:val="22"/>
          <w:lang w:eastAsia="zh-CN"/>
        </w:rPr>
      </w:pPr>
      <w:r w:rsidRPr="00114582">
        <w:rPr>
          <w:sz w:val="22"/>
          <w:szCs w:val="22"/>
          <w:lang w:eastAsia="zh-CN"/>
        </w:rPr>
        <w:t>The spectrum emission limits for the 4940 – 4990 MHz spectrum have been identified.</w:t>
      </w:r>
    </w:p>
    <w:p w14:paraId="0629E756" w14:textId="7282A9BF" w:rsidR="00114582" w:rsidRPr="00114582" w:rsidRDefault="00114582" w:rsidP="00D233E3">
      <w:pPr>
        <w:pStyle w:val="ListParagraph"/>
        <w:numPr>
          <w:ilvl w:val="0"/>
          <w:numId w:val="50"/>
        </w:numPr>
        <w:tabs>
          <w:tab w:val="left" w:pos="1710"/>
        </w:tabs>
        <w:contextualSpacing w:val="0"/>
        <w:rPr>
          <w:sz w:val="22"/>
          <w:szCs w:val="22"/>
          <w:lang w:eastAsia="zh-CN"/>
        </w:rPr>
      </w:pPr>
      <w:r w:rsidRPr="00114582">
        <w:rPr>
          <w:sz w:val="22"/>
          <w:szCs w:val="22"/>
          <w:lang w:eastAsia="zh-CN"/>
        </w:rPr>
        <w:t xml:space="preserve">The Band Manager has the responsibility to coordinate interference in 4940 – 4990 MHz and protect incumbent public safety operation.  Further, the Band Manager has both the detailed licensing information and the authority needed to coordinate interference </w:t>
      </w:r>
    </w:p>
    <w:p w14:paraId="20969240" w14:textId="56875773" w:rsidR="007F2ED0" w:rsidRDefault="00114582" w:rsidP="00E7052F">
      <w:pPr>
        <w:tabs>
          <w:tab w:val="left" w:pos="1710"/>
        </w:tabs>
        <w:rPr>
          <w:sz w:val="22"/>
          <w:szCs w:val="22"/>
          <w:lang w:eastAsia="zh-CN"/>
        </w:rPr>
      </w:pPr>
      <w:r>
        <w:rPr>
          <w:sz w:val="22"/>
          <w:szCs w:val="22"/>
          <w:lang w:eastAsia="zh-CN"/>
        </w:rPr>
        <w:t>As a result, we have the following proposal:</w:t>
      </w:r>
    </w:p>
    <w:p w14:paraId="40C29452" w14:textId="70AC71A4" w:rsidR="00DD12A4" w:rsidRPr="005C43E2" w:rsidRDefault="00114582" w:rsidP="00114582">
      <w:pPr>
        <w:tabs>
          <w:tab w:val="left" w:pos="1710"/>
        </w:tabs>
        <w:ind w:left="990" w:hanging="990"/>
        <w:rPr>
          <w:i/>
          <w:iCs/>
          <w:sz w:val="22"/>
          <w:szCs w:val="22"/>
          <w:lang w:eastAsia="zh-CN"/>
        </w:rPr>
      </w:pPr>
      <w:r w:rsidRPr="005C43E2">
        <w:rPr>
          <w:b/>
          <w:bCs/>
          <w:sz w:val="22"/>
          <w:szCs w:val="22"/>
          <w:lang w:eastAsia="zh-CN"/>
        </w:rPr>
        <w:t>Proposal:</w:t>
      </w:r>
      <w:r>
        <w:rPr>
          <w:sz w:val="22"/>
          <w:szCs w:val="22"/>
          <w:lang w:eastAsia="zh-CN"/>
        </w:rPr>
        <w:t xml:space="preserve">  </w:t>
      </w:r>
      <w:r w:rsidRPr="005C43E2">
        <w:rPr>
          <w:i/>
          <w:iCs/>
          <w:sz w:val="22"/>
          <w:szCs w:val="22"/>
          <w:lang w:eastAsia="zh-CN"/>
        </w:rPr>
        <w:t xml:space="preserve">Conclude the one-quarter study on </w:t>
      </w:r>
      <w:r w:rsidRPr="005C43E2">
        <w:rPr>
          <w:rFonts w:eastAsia="MS Gothic"/>
          <w:i/>
          <w:iCs/>
          <w:sz w:val="22"/>
          <w:szCs w:val="22"/>
          <w:lang w:val="en-US" w:eastAsia="ja-JP"/>
        </w:rPr>
        <w:t xml:space="preserve">coexistence issues with adjacent spectrum and other users of the 4940-4990 MHz band and proceed with the normative work to specify the </w:t>
      </w:r>
      <w:r w:rsidR="00EB4F75">
        <w:rPr>
          <w:rFonts w:eastAsia="MS Gothic"/>
          <w:i/>
          <w:iCs/>
          <w:sz w:val="22"/>
          <w:szCs w:val="22"/>
          <w:lang w:val="en-US" w:eastAsia="ja-JP"/>
        </w:rPr>
        <w:t xml:space="preserve">NR </w:t>
      </w:r>
      <w:r w:rsidRPr="005C43E2">
        <w:rPr>
          <w:rFonts w:eastAsia="MS Gothic"/>
          <w:i/>
          <w:iCs/>
          <w:sz w:val="22"/>
          <w:szCs w:val="22"/>
          <w:lang w:val="en-US" w:eastAsia="ja-JP"/>
        </w:rPr>
        <w:t>band</w:t>
      </w:r>
      <w:r w:rsidR="00CB48F1" w:rsidRPr="005C43E2">
        <w:rPr>
          <w:rFonts w:eastAsia="MS Gothic"/>
          <w:i/>
          <w:iCs/>
          <w:sz w:val="22"/>
          <w:szCs w:val="22"/>
          <w:lang w:val="en-US" w:eastAsia="ja-JP"/>
        </w:rPr>
        <w:t xml:space="preserve"> for 4940 – 4990 </w:t>
      </w:r>
      <w:proofErr w:type="spellStart"/>
      <w:r w:rsidR="00CB48F1" w:rsidRPr="005C43E2">
        <w:rPr>
          <w:rFonts w:eastAsia="MS Gothic"/>
          <w:i/>
          <w:iCs/>
          <w:sz w:val="22"/>
          <w:szCs w:val="22"/>
          <w:lang w:val="en-US" w:eastAsia="ja-JP"/>
        </w:rPr>
        <w:t>MHz.</w:t>
      </w:r>
      <w:proofErr w:type="spellEnd"/>
    </w:p>
    <w:p w14:paraId="2C858496" w14:textId="0EC7529B" w:rsidR="00E81E79" w:rsidRPr="00D233E3" w:rsidRDefault="004A388F" w:rsidP="00D233E3">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bookmarkEnd w:id="1"/>
    </w:p>
    <w:p w14:paraId="6B46A5C2" w14:textId="77777777" w:rsidR="00E81E79" w:rsidRPr="00E81E79" w:rsidRDefault="00E81E79" w:rsidP="00E81E79">
      <w:pPr>
        <w:numPr>
          <w:ilvl w:val="0"/>
          <w:numId w:val="46"/>
        </w:numPr>
        <w:spacing w:after="60"/>
        <w:rPr>
          <w:rFonts w:eastAsia="MS Gothic"/>
          <w:sz w:val="22"/>
          <w:szCs w:val="22"/>
          <w:lang w:val="en-US" w:eastAsia="ja-JP"/>
        </w:rPr>
      </w:pPr>
      <w:r w:rsidRPr="00E81E79">
        <w:rPr>
          <w:rFonts w:eastAsia="MS Gothic"/>
          <w:sz w:val="22"/>
          <w:szCs w:val="22"/>
          <w:lang w:val="en-US" w:eastAsia="ja-JP"/>
        </w:rPr>
        <w:t>RP-251887 “New WID on Introduction of NR TDD 4.9GHz Band for US Operation,” 3GPP TSG RAN Meeting #108, Prague, Czech Republic, June 09-13, 2025.</w:t>
      </w:r>
    </w:p>
    <w:p w14:paraId="1052033C" w14:textId="57E77DCA" w:rsidR="00E81E79" w:rsidRDefault="00E81E79" w:rsidP="00E81E79">
      <w:pPr>
        <w:numPr>
          <w:ilvl w:val="0"/>
          <w:numId w:val="46"/>
        </w:numPr>
        <w:spacing w:after="60"/>
        <w:rPr>
          <w:rFonts w:eastAsia="MS Gothic"/>
          <w:sz w:val="22"/>
          <w:szCs w:val="22"/>
          <w:lang w:val="en-US" w:eastAsia="ja-JP"/>
        </w:rPr>
      </w:pPr>
      <w:r w:rsidRPr="00E81E79">
        <w:rPr>
          <w:rFonts w:eastAsia="MS Gothic"/>
          <w:sz w:val="22"/>
          <w:szCs w:val="22"/>
          <w:lang w:val="en-US" w:eastAsia="ja-JP"/>
        </w:rPr>
        <w:t xml:space="preserve">FCC’s </w:t>
      </w:r>
      <w:r w:rsidR="00D233E3">
        <w:rPr>
          <w:rFonts w:eastAsia="MS Gothic"/>
          <w:sz w:val="22"/>
          <w:szCs w:val="22"/>
          <w:lang w:val="en-US" w:eastAsia="ja-JP"/>
        </w:rPr>
        <w:t>Eighth</w:t>
      </w:r>
      <w:r w:rsidRPr="00E81E79">
        <w:rPr>
          <w:rFonts w:eastAsia="MS Gothic"/>
          <w:sz w:val="22"/>
          <w:szCs w:val="22"/>
          <w:lang w:val="en-US" w:eastAsia="ja-JP"/>
        </w:rPr>
        <w:t xml:space="preserve"> Report and Order, Docket 07-100 </w:t>
      </w:r>
      <w:r w:rsidR="00D233E3">
        <w:rPr>
          <w:rFonts w:eastAsia="MS Gothic"/>
          <w:sz w:val="22"/>
          <w:szCs w:val="22"/>
          <w:lang w:val="en-US" w:eastAsia="ja-JP"/>
        </w:rPr>
        <w:t>adopted</w:t>
      </w:r>
      <w:r w:rsidRPr="00E81E79">
        <w:rPr>
          <w:rFonts w:eastAsia="MS Gothic"/>
          <w:sz w:val="22"/>
          <w:szCs w:val="22"/>
          <w:lang w:val="en-US" w:eastAsia="ja-JP"/>
        </w:rPr>
        <w:t xml:space="preserve"> </w:t>
      </w:r>
      <w:r w:rsidR="00D233E3">
        <w:rPr>
          <w:rFonts w:eastAsia="MS Gothic"/>
          <w:sz w:val="22"/>
          <w:szCs w:val="22"/>
          <w:lang w:val="en-US" w:eastAsia="ja-JP"/>
        </w:rPr>
        <w:t>October</w:t>
      </w:r>
      <w:r w:rsidRPr="00E81E79">
        <w:rPr>
          <w:rFonts w:eastAsia="MS Gothic"/>
          <w:sz w:val="22"/>
          <w:szCs w:val="22"/>
          <w:lang w:val="en-US" w:eastAsia="ja-JP"/>
        </w:rPr>
        <w:t xml:space="preserve"> 18, 202</w:t>
      </w:r>
      <w:r w:rsidR="00D233E3">
        <w:rPr>
          <w:rFonts w:eastAsia="MS Gothic"/>
          <w:sz w:val="22"/>
          <w:szCs w:val="22"/>
          <w:lang w:val="en-US" w:eastAsia="ja-JP"/>
        </w:rPr>
        <w:t>4</w:t>
      </w:r>
      <w:r w:rsidR="00A46AEA">
        <w:rPr>
          <w:rFonts w:eastAsia="MS Gothic"/>
          <w:sz w:val="22"/>
          <w:szCs w:val="22"/>
          <w:lang w:val="en-US" w:eastAsia="ja-JP"/>
        </w:rPr>
        <w:t>,</w:t>
      </w:r>
      <w:r w:rsidRPr="00E81E79">
        <w:rPr>
          <w:rFonts w:eastAsia="MS Gothic"/>
          <w:sz w:val="22"/>
          <w:szCs w:val="22"/>
          <w:lang w:val="en-US" w:eastAsia="ja-JP"/>
        </w:rPr>
        <w:t xml:space="preserve"> </w:t>
      </w:r>
      <w:r w:rsidRPr="00D233E3">
        <w:rPr>
          <w:rFonts w:eastAsia="MS Gothic"/>
          <w:sz w:val="22"/>
          <w:szCs w:val="22"/>
          <w:lang w:val="en-US" w:eastAsia="ja-JP"/>
        </w:rPr>
        <w:t>FCC-2</w:t>
      </w:r>
      <w:r w:rsidR="00D233E3">
        <w:rPr>
          <w:rFonts w:eastAsia="MS Gothic"/>
          <w:sz w:val="22"/>
          <w:szCs w:val="22"/>
          <w:lang w:val="en-US" w:eastAsia="ja-JP"/>
        </w:rPr>
        <w:t>4</w:t>
      </w:r>
      <w:r w:rsidRPr="00D233E3">
        <w:rPr>
          <w:rFonts w:eastAsia="MS Gothic"/>
          <w:sz w:val="22"/>
          <w:szCs w:val="22"/>
          <w:lang w:val="en-US" w:eastAsia="ja-JP"/>
        </w:rPr>
        <w:t>-</w:t>
      </w:r>
      <w:r w:rsidR="00D233E3">
        <w:rPr>
          <w:rFonts w:eastAsia="MS Gothic"/>
          <w:sz w:val="22"/>
          <w:szCs w:val="22"/>
          <w:lang w:val="en-US" w:eastAsia="ja-JP"/>
        </w:rPr>
        <w:t>114</w:t>
      </w:r>
      <w:r w:rsidRPr="00D233E3">
        <w:rPr>
          <w:rFonts w:eastAsia="MS Gothic"/>
          <w:sz w:val="22"/>
          <w:szCs w:val="22"/>
          <w:lang w:val="en-US" w:eastAsia="ja-JP"/>
        </w:rPr>
        <w:t>A</w:t>
      </w:r>
      <w:r w:rsidR="00D233E3">
        <w:rPr>
          <w:rFonts w:eastAsia="MS Gothic"/>
          <w:sz w:val="22"/>
          <w:szCs w:val="22"/>
          <w:lang w:val="en-US" w:eastAsia="ja-JP"/>
        </w:rPr>
        <w:t>1.</w:t>
      </w:r>
    </w:p>
    <w:p w14:paraId="0203ACB3" w14:textId="6204FCA8" w:rsidR="00EB4F75" w:rsidRDefault="00EB4F75" w:rsidP="00E81E79">
      <w:pPr>
        <w:numPr>
          <w:ilvl w:val="0"/>
          <w:numId w:val="46"/>
        </w:numPr>
        <w:spacing w:after="60"/>
        <w:rPr>
          <w:rFonts w:eastAsia="MS Gothic"/>
          <w:sz w:val="22"/>
          <w:szCs w:val="22"/>
          <w:lang w:val="en-US" w:eastAsia="ja-JP"/>
        </w:rPr>
      </w:pPr>
      <w:r w:rsidRPr="00E81E79">
        <w:rPr>
          <w:rFonts w:eastAsia="MS Gothic"/>
          <w:sz w:val="22"/>
          <w:szCs w:val="22"/>
          <w:lang w:val="en-US" w:eastAsia="ja-JP"/>
        </w:rPr>
        <w:t xml:space="preserve">FCC Universal Licensing Database, Radio Service Codes PF (Fixed Services) and PB (Base/Mobile and Temporary Fixed Operation)  </w:t>
      </w:r>
      <w:hyperlink r:id="rId11" w:history="1">
        <w:r w:rsidRPr="00E81E79">
          <w:rPr>
            <w:rStyle w:val="Hyperlink"/>
            <w:rFonts w:eastAsia="MS Gothic"/>
            <w:sz w:val="22"/>
            <w:szCs w:val="22"/>
            <w:lang w:val="en-US" w:eastAsia="ja-JP"/>
          </w:rPr>
          <w:t>License Search - Advanced License Search</w:t>
        </w:r>
      </w:hyperlink>
      <w:r w:rsidRPr="00E81E79">
        <w:rPr>
          <w:rFonts w:eastAsia="MS Gothic"/>
          <w:sz w:val="22"/>
          <w:szCs w:val="22"/>
          <w:lang w:val="en-US" w:eastAsia="ja-JP"/>
        </w:rPr>
        <w:t>.</w:t>
      </w:r>
    </w:p>
    <w:p w14:paraId="5E7C71D2" w14:textId="5ABC6C00" w:rsidR="00C8019E" w:rsidRPr="00EB4F75" w:rsidRDefault="008D12EA" w:rsidP="00B676B6">
      <w:pPr>
        <w:numPr>
          <w:ilvl w:val="0"/>
          <w:numId w:val="46"/>
        </w:numPr>
        <w:spacing w:after="60"/>
        <w:rPr>
          <w:rFonts w:eastAsia="MS Gothic"/>
          <w:sz w:val="22"/>
          <w:szCs w:val="22"/>
          <w:lang w:val="en-US" w:eastAsia="ja-JP"/>
        </w:rPr>
      </w:pPr>
      <w:r w:rsidRPr="00E81E79">
        <w:rPr>
          <w:rFonts w:eastAsia="MS Gothic"/>
          <w:sz w:val="22"/>
          <w:szCs w:val="22"/>
          <w:lang w:val="en-US" w:eastAsia="ja-JP"/>
        </w:rPr>
        <w:t xml:space="preserve">FCC’s </w:t>
      </w:r>
      <w:r>
        <w:rPr>
          <w:rFonts w:eastAsia="MS Gothic"/>
          <w:sz w:val="22"/>
          <w:szCs w:val="22"/>
          <w:lang w:val="en-US" w:eastAsia="ja-JP"/>
        </w:rPr>
        <w:t>Seventh</w:t>
      </w:r>
      <w:r w:rsidRPr="00E81E79">
        <w:rPr>
          <w:rFonts w:eastAsia="MS Gothic"/>
          <w:sz w:val="22"/>
          <w:szCs w:val="22"/>
          <w:lang w:val="en-US" w:eastAsia="ja-JP"/>
        </w:rPr>
        <w:t xml:space="preserve"> Report and Order, Docket 07-100 </w:t>
      </w:r>
      <w:r>
        <w:rPr>
          <w:rFonts w:eastAsia="MS Gothic"/>
          <w:sz w:val="22"/>
          <w:szCs w:val="22"/>
          <w:lang w:val="en-US" w:eastAsia="ja-JP"/>
        </w:rPr>
        <w:t>adopted</w:t>
      </w:r>
      <w:r w:rsidRPr="00E81E79">
        <w:rPr>
          <w:rFonts w:eastAsia="MS Gothic"/>
          <w:sz w:val="22"/>
          <w:szCs w:val="22"/>
          <w:lang w:val="en-US" w:eastAsia="ja-JP"/>
        </w:rPr>
        <w:t xml:space="preserve"> </w:t>
      </w:r>
      <w:r w:rsidR="00EB4F75">
        <w:rPr>
          <w:rFonts w:eastAsia="MS Gothic"/>
          <w:sz w:val="22"/>
          <w:szCs w:val="22"/>
          <w:lang w:val="en-US" w:eastAsia="ja-JP"/>
        </w:rPr>
        <w:t>January</w:t>
      </w:r>
      <w:r w:rsidRPr="00E81E79">
        <w:rPr>
          <w:rFonts w:eastAsia="MS Gothic"/>
          <w:sz w:val="22"/>
          <w:szCs w:val="22"/>
          <w:lang w:val="en-US" w:eastAsia="ja-JP"/>
        </w:rPr>
        <w:t xml:space="preserve"> 18, 202</w:t>
      </w:r>
      <w:r w:rsidR="00EB4F75">
        <w:rPr>
          <w:rFonts w:eastAsia="MS Gothic"/>
          <w:sz w:val="22"/>
          <w:szCs w:val="22"/>
          <w:lang w:val="en-US" w:eastAsia="ja-JP"/>
        </w:rPr>
        <w:t>3</w:t>
      </w:r>
      <w:r>
        <w:rPr>
          <w:rFonts w:eastAsia="MS Gothic"/>
          <w:sz w:val="22"/>
          <w:szCs w:val="22"/>
          <w:lang w:val="en-US" w:eastAsia="ja-JP"/>
        </w:rPr>
        <w:t>,</w:t>
      </w:r>
      <w:r w:rsidRPr="00E81E79">
        <w:rPr>
          <w:rFonts w:eastAsia="MS Gothic"/>
          <w:sz w:val="22"/>
          <w:szCs w:val="22"/>
          <w:lang w:val="en-US" w:eastAsia="ja-JP"/>
        </w:rPr>
        <w:t xml:space="preserve"> </w:t>
      </w:r>
      <w:r w:rsidRPr="00D233E3">
        <w:rPr>
          <w:rFonts w:eastAsia="MS Gothic"/>
          <w:sz w:val="22"/>
          <w:szCs w:val="22"/>
          <w:lang w:val="en-US" w:eastAsia="ja-JP"/>
        </w:rPr>
        <w:t>FCC-2</w:t>
      </w:r>
      <w:r w:rsidR="00EB4F75">
        <w:rPr>
          <w:rFonts w:eastAsia="MS Gothic"/>
          <w:sz w:val="22"/>
          <w:szCs w:val="22"/>
          <w:lang w:val="en-US" w:eastAsia="ja-JP"/>
        </w:rPr>
        <w:t>3</w:t>
      </w:r>
      <w:r w:rsidRPr="00D233E3">
        <w:rPr>
          <w:rFonts w:eastAsia="MS Gothic"/>
          <w:sz w:val="22"/>
          <w:szCs w:val="22"/>
          <w:lang w:val="en-US" w:eastAsia="ja-JP"/>
        </w:rPr>
        <w:t>-</w:t>
      </w:r>
      <w:r w:rsidR="00EB4F75">
        <w:rPr>
          <w:rFonts w:eastAsia="MS Gothic"/>
          <w:sz w:val="22"/>
          <w:szCs w:val="22"/>
          <w:lang w:val="en-US" w:eastAsia="ja-JP"/>
        </w:rPr>
        <w:t>3</w:t>
      </w:r>
      <w:r w:rsidRPr="00D233E3">
        <w:rPr>
          <w:rFonts w:eastAsia="MS Gothic"/>
          <w:sz w:val="22"/>
          <w:szCs w:val="22"/>
          <w:lang w:val="en-US" w:eastAsia="ja-JP"/>
        </w:rPr>
        <w:t>A</w:t>
      </w:r>
      <w:r>
        <w:rPr>
          <w:rFonts w:eastAsia="MS Gothic"/>
          <w:sz w:val="22"/>
          <w:szCs w:val="22"/>
          <w:lang w:val="en-US" w:eastAsia="ja-JP"/>
        </w:rPr>
        <w:t>1.</w:t>
      </w:r>
    </w:p>
    <w:p w14:paraId="1F4FE308" w14:textId="77777777" w:rsidR="00EB4F75" w:rsidRDefault="00EB4F75" w:rsidP="00C00678">
      <w:pPr>
        <w:spacing w:after="60"/>
        <w:rPr>
          <w:rFonts w:ascii="Arial" w:eastAsia="MS Gothic" w:hAnsi="Arial"/>
          <w:b/>
          <w:color w:val="000000"/>
          <w:kern w:val="28"/>
          <w:sz w:val="28"/>
          <w:lang w:eastAsia="ja-JP"/>
        </w:rPr>
      </w:pPr>
    </w:p>
    <w:p w14:paraId="587FC86C" w14:textId="22909279" w:rsidR="00C00678" w:rsidRDefault="00C00678" w:rsidP="00C00678">
      <w:pPr>
        <w:spacing w:after="6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 xml:space="preserve">Appendix:  </w:t>
      </w:r>
      <w:r w:rsidRPr="00C00678">
        <w:rPr>
          <w:rFonts w:ascii="Arial" w:eastAsia="MS Gothic" w:hAnsi="Arial"/>
          <w:b/>
          <w:color w:val="000000"/>
          <w:kern w:val="28"/>
          <w:sz w:val="28"/>
          <w:lang w:eastAsia="ja-JP"/>
        </w:rPr>
        <w:t>§ 90.1207 Licensing</w:t>
      </w:r>
    </w:p>
    <w:p w14:paraId="2D484AFC" w14:textId="3A4BA7CF" w:rsidR="00C00678" w:rsidRPr="00484C85" w:rsidRDefault="00E7052F" w:rsidP="00E7052F">
      <w:pPr>
        <w:spacing w:before="100" w:beforeAutospacing="1" w:after="100" w:afterAutospacing="1"/>
        <w:ind w:left="720" w:hanging="720"/>
        <w:rPr>
          <w:rFonts w:eastAsia="MS Gothic"/>
          <w:sz w:val="22"/>
          <w:szCs w:val="22"/>
          <w:lang w:val="en-US" w:eastAsia="ja-JP"/>
        </w:rPr>
      </w:pPr>
      <w:r>
        <w:rPr>
          <w:rFonts w:eastAsia="MS Gothic"/>
          <w:sz w:val="22"/>
          <w:szCs w:val="22"/>
          <w:lang w:eastAsia="ja-JP"/>
        </w:rPr>
        <w:t>(e)</w:t>
      </w:r>
      <w:r>
        <w:rPr>
          <w:rFonts w:eastAsia="MS Gothic"/>
          <w:sz w:val="22"/>
          <w:szCs w:val="22"/>
          <w:lang w:eastAsia="ja-JP"/>
        </w:rPr>
        <w:tab/>
      </w:r>
      <w:r w:rsidR="00C00678" w:rsidRPr="00484C85">
        <w:rPr>
          <w:rFonts w:eastAsia="MS Gothic"/>
          <w:sz w:val="22"/>
          <w:szCs w:val="22"/>
          <w:lang w:val="en-US" w:eastAsia="ja-JP"/>
        </w:rPr>
        <w:t xml:space="preserve">Applications for license in the 4940-4990 MHz band by an entity eligible under </w:t>
      </w:r>
      <w:r w:rsidR="00C00678" w:rsidRPr="00C0761A">
        <w:rPr>
          <w:rFonts w:eastAsia="MS Gothic"/>
          <w:sz w:val="22"/>
          <w:szCs w:val="22"/>
          <w:lang w:val="en-US" w:eastAsia="ja-JP"/>
        </w:rPr>
        <w:t>§ 90.1203(a)</w:t>
      </w:r>
      <w:r w:rsidR="00C00678" w:rsidRPr="00484C85">
        <w:rPr>
          <w:rFonts w:eastAsia="MS Gothic"/>
          <w:sz w:val="22"/>
          <w:szCs w:val="22"/>
          <w:lang w:val="en-US" w:eastAsia="ja-JP"/>
        </w:rPr>
        <w:t xml:space="preserve"> must include the following technical information.</w:t>
      </w:r>
    </w:p>
    <w:p w14:paraId="497173B2" w14:textId="77777777" w:rsidR="00C00678" w:rsidRPr="00484C85" w:rsidRDefault="00C00678" w:rsidP="00E7052F">
      <w:pPr>
        <w:spacing w:before="100" w:beforeAutospacing="1" w:after="100" w:afterAutospacing="1"/>
        <w:ind w:left="720"/>
        <w:rPr>
          <w:rFonts w:eastAsia="MS Gothic"/>
          <w:sz w:val="22"/>
          <w:szCs w:val="22"/>
          <w:lang w:val="en-US" w:eastAsia="ja-JP"/>
        </w:rPr>
      </w:pPr>
      <w:r w:rsidRPr="00484C85">
        <w:rPr>
          <w:rFonts w:eastAsia="MS Gothic"/>
          <w:sz w:val="22"/>
          <w:szCs w:val="22"/>
          <w:lang w:val="en-US" w:eastAsia="ja-JP"/>
        </w:rPr>
        <w:t>(1) The license for base/mobile, mobile-only or temporary fixed (1 year or less) stations will specify, among other parameters, the following technical information:</w:t>
      </w:r>
    </w:p>
    <w:p w14:paraId="20705ED0"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w:t>
      </w:r>
      <w:proofErr w:type="spellStart"/>
      <w:r w:rsidRPr="00484C85">
        <w:rPr>
          <w:rFonts w:eastAsia="MS Gothic"/>
          <w:sz w:val="22"/>
          <w:szCs w:val="22"/>
          <w:lang w:val="en-US" w:eastAsia="ja-JP"/>
        </w:rPr>
        <w:t>i</w:t>
      </w:r>
      <w:proofErr w:type="spellEnd"/>
      <w:r w:rsidRPr="00484C85">
        <w:rPr>
          <w:rFonts w:eastAsia="MS Gothic"/>
          <w:sz w:val="22"/>
          <w:szCs w:val="22"/>
          <w:lang w:val="en-US" w:eastAsia="ja-JP"/>
        </w:rPr>
        <w:t>) Coordinates (base).</w:t>
      </w:r>
    </w:p>
    <w:p w14:paraId="11F221AA"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(ii) Antenna height-to-tip (base and temporary fixed).</w:t>
      </w:r>
    </w:p>
    <w:p w14:paraId="110230E8"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(iii) Antenna height above average terrain (base).</w:t>
      </w:r>
    </w:p>
    <w:p w14:paraId="1C1AE5F6"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(iv) Center frequency, emission designator, and ERP.</w:t>
      </w:r>
    </w:p>
    <w:p w14:paraId="4EF4D240"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(v) Number of units (mobile and temporary fixed).</w:t>
      </w:r>
    </w:p>
    <w:p w14:paraId="2132D0D2"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(vi) Area of operation (mobile and temporary fixed), which shall be limited to the geographic area encompassing the legal jurisdiction of the licensee or, in case of a nongovernmental organization, the legal jurisdiction of the state or local governmental entity supporting the nongovernmental organization. However, applicants may define their areas of operation outside of their areas of legal jurisdiction to assist public safety operations with the permission of the jurisdiction(s) in which the mobile and/or temporary fixed stations are to be operated.</w:t>
      </w:r>
    </w:p>
    <w:p w14:paraId="3581CD86" w14:textId="77777777" w:rsidR="00C00678" w:rsidRPr="00484C85" w:rsidRDefault="00C00678" w:rsidP="00E7052F">
      <w:pPr>
        <w:spacing w:before="100" w:beforeAutospacing="1" w:after="100" w:afterAutospacing="1"/>
        <w:ind w:left="720"/>
        <w:rPr>
          <w:rFonts w:eastAsia="MS Gothic"/>
          <w:sz w:val="22"/>
          <w:szCs w:val="22"/>
          <w:lang w:val="en-US" w:eastAsia="ja-JP"/>
        </w:rPr>
      </w:pPr>
      <w:r w:rsidRPr="00484C85">
        <w:rPr>
          <w:rFonts w:eastAsia="MS Gothic"/>
          <w:sz w:val="22"/>
          <w:szCs w:val="22"/>
          <w:lang w:val="en-US" w:eastAsia="ja-JP"/>
        </w:rPr>
        <w:t>(2) The license for permanent fixed point-to-point, point-to-multipoint and fixed receiver stations must include, among other parameters, the following technical information:</w:t>
      </w:r>
    </w:p>
    <w:p w14:paraId="4FB66139"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w:t>
      </w:r>
      <w:proofErr w:type="spellStart"/>
      <w:r w:rsidRPr="00484C85">
        <w:rPr>
          <w:rFonts w:eastAsia="MS Gothic"/>
          <w:sz w:val="22"/>
          <w:szCs w:val="22"/>
          <w:lang w:val="en-US" w:eastAsia="ja-JP"/>
        </w:rPr>
        <w:t>i</w:t>
      </w:r>
      <w:proofErr w:type="spellEnd"/>
      <w:r w:rsidRPr="00484C85">
        <w:rPr>
          <w:rFonts w:eastAsia="MS Gothic"/>
          <w:sz w:val="22"/>
          <w:szCs w:val="22"/>
          <w:lang w:val="en-US" w:eastAsia="ja-JP"/>
        </w:rPr>
        <w:t>) Transmitting station coordinates.</w:t>
      </w:r>
    </w:p>
    <w:p w14:paraId="22BCB5DB"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(ii) Frequencies and polarizations.</w:t>
      </w:r>
    </w:p>
    <w:p w14:paraId="3C99467C"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(iii) For the transmitting equipment, the tolerance, effective isotropic radiated power, emission designator, and type of modulation (digital).</w:t>
      </w:r>
    </w:p>
    <w:p w14:paraId="5F31D82A"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(iv) For the transmitting antenna(s), the model, gain, antenna center line height(s) above ground level and ground elevation above mean sea level.</w:t>
      </w:r>
    </w:p>
    <w:p w14:paraId="163EAA49"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(v) Receiving station coordinates.</w:t>
      </w:r>
    </w:p>
    <w:p w14:paraId="7D1782FD"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(vi) For the receiving antenna(s), the model, gain, antenna center line height(s) above ground level and ground elevation above mean sea level.</w:t>
      </w:r>
    </w:p>
    <w:p w14:paraId="0A092743" w14:textId="77777777" w:rsidR="00C00678" w:rsidRPr="00484C85" w:rsidRDefault="00C00678" w:rsidP="00E7052F">
      <w:pPr>
        <w:spacing w:before="100" w:beforeAutospacing="1" w:after="100" w:afterAutospacing="1"/>
        <w:ind w:left="1440"/>
        <w:rPr>
          <w:rFonts w:eastAsia="MS Gothic"/>
          <w:sz w:val="22"/>
          <w:szCs w:val="22"/>
          <w:lang w:val="en-US" w:eastAsia="ja-JP"/>
        </w:rPr>
      </w:pPr>
      <w:r w:rsidRPr="00484C85">
        <w:rPr>
          <w:rFonts w:eastAsia="MS Gothic"/>
          <w:sz w:val="22"/>
          <w:szCs w:val="22"/>
          <w:lang w:val="en-US" w:eastAsia="ja-JP"/>
        </w:rPr>
        <w:t>(vii) Path azimuth and distance.</w:t>
      </w:r>
    </w:p>
    <w:p w14:paraId="04DF0776" w14:textId="4C7C96F0" w:rsidR="00C00678" w:rsidRPr="00C00678" w:rsidRDefault="00C00678" w:rsidP="00C00678">
      <w:pPr>
        <w:spacing w:after="60"/>
        <w:rPr>
          <w:rFonts w:ascii="Arial" w:eastAsia="MS Gothic" w:hAnsi="Arial"/>
          <w:b/>
          <w:color w:val="000000"/>
          <w:kern w:val="28"/>
          <w:sz w:val="28"/>
          <w:lang w:val="en-US" w:eastAsia="ja-JP"/>
        </w:rPr>
      </w:pPr>
    </w:p>
    <w:sectPr w:rsidR="00C00678" w:rsidRPr="00C006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3213D" w14:textId="77777777" w:rsidR="00424E91" w:rsidRDefault="00424E91" w:rsidP="00E84719">
      <w:pPr>
        <w:spacing w:after="0"/>
      </w:pPr>
      <w:r>
        <w:separator/>
      </w:r>
    </w:p>
  </w:endnote>
  <w:endnote w:type="continuationSeparator" w:id="0">
    <w:p w14:paraId="0E4D5B1E" w14:textId="77777777" w:rsidR="00424E91" w:rsidRDefault="00424E91"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0A739" w14:textId="77777777" w:rsidR="00424E91" w:rsidRDefault="00424E91" w:rsidP="00E84719">
      <w:pPr>
        <w:spacing w:after="0"/>
      </w:pPr>
      <w:r>
        <w:separator/>
      </w:r>
    </w:p>
  </w:footnote>
  <w:footnote w:type="continuationSeparator" w:id="0">
    <w:p w14:paraId="3DCD5A7D" w14:textId="77777777" w:rsidR="00424E91" w:rsidRDefault="00424E91"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B25A7A"/>
    <w:multiLevelType w:val="hybridMultilevel"/>
    <w:tmpl w:val="80F84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A576D8"/>
    <w:multiLevelType w:val="hybridMultilevel"/>
    <w:tmpl w:val="128CEE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A6340"/>
    <w:multiLevelType w:val="hybridMultilevel"/>
    <w:tmpl w:val="99421B6E"/>
    <w:lvl w:ilvl="0" w:tplc="C840E6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4"/>
  </w:num>
  <w:num w:numId="2" w16cid:durableId="224729400">
    <w:abstractNumId w:val="45"/>
  </w:num>
  <w:num w:numId="3" w16cid:durableId="621500534">
    <w:abstractNumId w:val="5"/>
  </w:num>
  <w:num w:numId="4" w16cid:durableId="1602373695">
    <w:abstractNumId w:val="32"/>
  </w:num>
  <w:num w:numId="5" w16cid:durableId="646786602">
    <w:abstractNumId w:val="23"/>
  </w:num>
  <w:num w:numId="6" w16cid:durableId="1342003930">
    <w:abstractNumId w:val="42"/>
  </w:num>
  <w:num w:numId="7" w16cid:durableId="824008558">
    <w:abstractNumId w:val="46"/>
  </w:num>
  <w:num w:numId="8" w16cid:durableId="669214655">
    <w:abstractNumId w:val="47"/>
  </w:num>
  <w:num w:numId="9" w16cid:durableId="1483736243">
    <w:abstractNumId w:val="18"/>
  </w:num>
  <w:num w:numId="10" w16cid:durableId="114760664">
    <w:abstractNumId w:val="6"/>
  </w:num>
  <w:num w:numId="11" w16cid:durableId="1973946142">
    <w:abstractNumId w:val="25"/>
  </w:num>
  <w:num w:numId="12" w16cid:durableId="1833594957">
    <w:abstractNumId w:val="30"/>
  </w:num>
  <w:num w:numId="13" w16cid:durableId="1179731215">
    <w:abstractNumId w:val="19"/>
  </w:num>
  <w:num w:numId="14" w16cid:durableId="1537890116">
    <w:abstractNumId w:val="40"/>
  </w:num>
  <w:num w:numId="15" w16cid:durableId="707802589">
    <w:abstractNumId w:val="0"/>
  </w:num>
  <w:num w:numId="16" w16cid:durableId="600452115">
    <w:abstractNumId w:val="3"/>
  </w:num>
  <w:num w:numId="17" w16cid:durableId="2042169108">
    <w:abstractNumId w:val="8"/>
  </w:num>
  <w:num w:numId="18" w16cid:durableId="2059010852">
    <w:abstractNumId w:val="36"/>
  </w:num>
  <w:num w:numId="19" w16cid:durableId="473067481">
    <w:abstractNumId w:val="22"/>
  </w:num>
  <w:num w:numId="20" w16cid:durableId="1342245467">
    <w:abstractNumId w:val="41"/>
  </w:num>
  <w:num w:numId="21" w16cid:durableId="1442532913">
    <w:abstractNumId w:val="10"/>
  </w:num>
  <w:num w:numId="22" w16cid:durableId="1412657150">
    <w:abstractNumId w:val="48"/>
  </w:num>
  <w:num w:numId="23" w16cid:durableId="1155924165">
    <w:abstractNumId w:val="9"/>
  </w:num>
  <w:num w:numId="24" w16cid:durableId="888498951">
    <w:abstractNumId w:val="29"/>
  </w:num>
  <w:num w:numId="25" w16cid:durableId="317345182">
    <w:abstractNumId w:val="2"/>
  </w:num>
  <w:num w:numId="26" w16cid:durableId="2004354106">
    <w:abstractNumId w:val="43"/>
  </w:num>
  <w:num w:numId="27" w16cid:durableId="1311061340">
    <w:abstractNumId w:val="34"/>
  </w:num>
  <w:num w:numId="28" w16cid:durableId="347876660">
    <w:abstractNumId w:val="24"/>
  </w:num>
  <w:num w:numId="29" w16cid:durableId="919750991">
    <w:abstractNumId w:val="4"/>
  </w:num>
  <w:num w:numId="30" w16cid:durableId="826243298">
    <w:abstractNumId w:val="38"/>
  </w:num>
  <w:num w:numId="31" w16cid:durableId="1224752199">
    <w:abstractNumId w:val="31"/>
  </w:num>
  <w:num w:numId="32" w16cid:durableId="1741902105">
    <w:abstractNumId w:val="33"/>
  </w:num>
  <w:num w:numId="33" w16cid:durableId="311443880">
    <w:abstractNumId w:val="17"/>
  </w:num>
  <w:num w:numId="34" w16cid:durableId="773866980">
    <w:abstractNumId w:val="12"/>
  </w:num>
  <w:num w:numId="35" w16cid:durableId="2053309875">
    <w:abstractNumId w:val="37"/>
  </w:num>
  <w:num w:numId="36" w16cid:durableId="1316957454">
    <w:abstractNumId w:val="26"/>
  </w:num>
  <w:num w:numId="37" w16cid:durableId="452333205">
    <w:abstractNumId w:val="20"/>
  </w:num>
  <w:num w:numId="38" w16cid:durableId="1892038321">
    <w:abstractNumId w:val="11"/>
  </w:num>
  <w:num w:numId="39" w16cid:durableId="1779636978">
    <w:abstractNumId w:val="28"/>
  </w:num>
  <w:num w:numId="40" w16cid:durableId="1454247248">
    <w:abstractNumId w:val="16"/>
  </w:num>
  <w:num w:numId="41" w16cid:durableId="845486933">
    <w:abstractNumId w:val="27"/>
  </w:num>
  <w:num w:numId="42" w16cid:durableId="556554165">
    <w:abstractNumId w:val="35"/>
  </w:num>
  <w:num w:numId="43" w16cid:durableId="958299889">
    <w:abstractNumId w:val="1"/>
  </w:num>
  <w:num w:numId="44" w16cid:durableId="1437091173">
    <w:abstractNumId w:val="44"/>
  </w:num>
  <w:num w:numId="45" w16cid:durableId="331418868">
    <w:abstractNumId w:val="39"/>
  </w:num>
  <w:num w:numId="46" w16cid:durableId="4640105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7844826">
    <w:abstractNumId w:val="21"/>
  </w:num>
  <w:num w:numId="48" w16cid:durableId="286933716">
    <w:abstractNumId w:val="21"/>
  </w:num>
  <w:num w:numId="49" w16cid:durableId="1226144372">
    <w:abstractNumId w:val="13"/>
  </w:num>
  <w:num w:numId="50" w16cid:durableId="11301278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4F2A"/>
    <w:rsid w:val="00005446"/>
    <w:rsid w:val="00006C15"/>
    <w:rsid w:val="0000749C"/>
    <w:rsid w:val="00012165"/>
    <w:rsid w:val="000125F9"/>
    <w:rsid w:val="000136FC"/>
    <w:rsid w:val="000157FB"/>
    <w:rsid w:val="00021A64"/>
    <w:rsid w:val="00021FFF"/>
    <w:rsid w:val="000226AD"/>
    <w:rsid w:val="000226DC"/>
    <w:rsid w:val="00022BE4"/>
    <w:rsid w:val="000231C2"/>
    <w:rsid w:val="0002322E"/>
    <w:rsid w:val="00026AE8"/>
    <w:rsid w:val="000379B4"/>
    <w:rsid w:val="0004036E"/>
    <w:rsid w:val="00042837"/>
    <w:rsid w:val="00045781"/>
    <w:rsid w:val="00046109"/>
    <w:rsid w:val="0004770E"/>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1825"/>
    <w:rsid w:val="00073F23"/>
    <w:rsid w:val="00073FF9"/>
    <w:rsid w:val="00074435"/>
    <w:rsid w:val="000747C9"/>
    <w:rsid w:val="00074B1C"/>
    <w:rsid w:val="000758A8"/>
    <w:rsid w:val="000765E4"/>
    <w:rsid w:val="0008162C"/>
    <w:rsid w:val="00081653"/>
    <w:rsid w:val="00082753"/>
    <w:rsid w:val="00083B99"/>
    <w:rsid w:val="00086FEA"/>
    <w:rsid w:val="000904A1"/>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2463"/>
    <w:rsid w:val="000C338B"/>
    <w:rsid w:val="000C47EE"/>
    <w:rsid w:val="000C79C9"/>
    <w:rsid w:val="000C7BA4"/>
    <w:rsid w:val="000D110E"/>
    <w:rsid w:val="000D38C6"/>
    <w:rsid w:val="000D5266"/>
    <w:rsid w:val="000D6E08"/>
    <w:rsid w:val="000E1D80"/>
    <w:rsid w:val="000E2832"/>
    <w:rsid w:val="000E2B60"/>
    <w:rsid w:val="000E407D"/>
    <w:rsid w:val="000E630B"/>
    <w:rsid w:val="000E65D1"/>
    <w:rsid w:val="000E7C9E"/>
    <w:rsid w:val="000F0A0F"/>
    <w:rsid w:val="000F16BA"/>
    <w:rsid w:val="000F2B91"/>
    <w:rsid w:val="000F3C48"/>
    <w:rsid w:val="000F3EAB"/>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0FCB"/>
    <w:rsid w:val="00111477"/>
    <w:rsid w:val="00112FB1"/>
    <w:rsid w:val="0011303B"/>
    <w:rsid w:val="00114582"/>
    <w:rsid w:val="001204FC"/>
    <w:rsid w:val="001222B7"/>
    <w:rsid w:val="0012488F"/>
    <w:rsid w:val="00124A53"/>
    <w:rsid w:val="00130AA0"/>
    <w:rsid w:val="00132EF0"/>
    <w:rsid w:val="00132F67"/>
    <w:rsid w:val="001339E6"/>
    <w:rsid w:val="001358FC"/>
    <w:rsid w:val="001401CA"/>
    <w:rsid w:val="0014095C"/>
    <w:rsid w:val="00141160"/>
    <w:rsid w:val="00141AEE"/>
    <w:rsid w:val="00143EE8"/>
    <w:rsid w:val="001459C9"/>
    <w:rsid w:val="00147A45"/>
    <w:rsid w:val="00150A00"/>
    <w:rsid w:val="00152C05"/>
    <w:rsid w:val="00152FE6"/>
    <w:rsid w:val="00153A12"/>
    <w:rsid w:val="00154B1D"/>
    <w:rsid w:val="001576F0"/>
    <w:rsid w:val="00160806"/>
    <w:rsid w:val="00160D5A"/>
    <w:rsid w:val="001611DD"/>
    <w:rsid w:val="0016369E"/>
    <w:rsid w:val="00163FB6"/>
    <w:rsid w:val="001641E9"/>
    <w:rsid w:val="001648E9"/>
    <w:rsid w:val="001656E5"/>
    <w:rsid w:val="0017265F"/>
    <w:rsid w:val="001736AB"/>
    <w:rsid w:val="00174AC4"/>
    <w:rsid w:val="001753DB"/>
    <w:rsid w:val="001763AB"/>
    <w:rsid w:val="001767F8"/>
    <w:rsid w:val="00181C73"/>
    <w:rsid w:val="00183180"/>
    <w:rsid w:val="001832A8"/>
    <w:rsid w:val="00183613"/>
    <w:rsid w:val="00183A87"/>
    <w:rsid w:val="001848A2"/>
    <w:rsid w:val="00186200"/>
    <w:rsid w:val="00197E89"/>
    <w:rsid w:val="001A1961"/>
    <w:rsid w:val="001A2A7E"/>
    <w:rsid w:val="001A3FB8"/>
    <w:rsid w:val="001A4349"/>
    <w:rsid w:val="001B0DB9"/>
    <w:rsid w:val="001B243E"/>
    <w:rsid w:val="001B273C"/>
    <w:rsid w:val="001B2889"/>
    <w:rsid w:val="001B42CE"/>
    <w:rsid w:val="001B53E5"/>
    <w:rsid w:val="001B6C92"/>
    <w:rsid w:val="001B6FAF"/>
    <w:rsid w:val="001B771A"/>
    <w:rsid w:val="001B7E67"/>
    <w:rsid w:val="001C0398"/>
    <w:rsid w:val="001C62D7"/>
    <w:rsid w:val="001C6A31"/>
    <w:rsid w:val="001C780A"/>
    <w:rsid w:val="001D28FA"/>
    <w:rsid w:val="001D2F85"/>
    <w:rsid w:val="001D382A"/>
    <w:rsid w:val="001D3C01"/>
    <w:rsid w:val="001E20AE"/>
    <w:rsid w:val="001E2713"/>
    <w:rsid w:val="001E3D6A"/>
    <w:rsid w:val="001E47B6"/>
    <w:rsid w:val="001E4BBE"/>
    <w:rsid w:val="001E6E4C"/>
    <w:rsid w:val="001F0261"/>
    <w:rsid w:val="001F1D07"/>
    <w:rsid w:val="001F216F"/>
    <w:rsid w:val="001F6A94"/>
    <w:rsid w:val="001F7329"/>
    <w:rsid w:val="001F792B"/>
    <w:rsid w:val="001F7C6F"/>
    <w:rsid w:val="001F7F08"/>
    <w:rsid w:val="00202901"/>
    <w:rsid w:val="00202AB7"/>
    <w:rsid w:val="002038B2"/>
    <w:rsid w:val="00204905"/>
    <w:rsid w:val="00204B60"/>
    <w:rsid w:val="00204C27"/>
    <w:rsid w:val="00204E90"/>
    <w:rsid w:val="00205573"/>
    <w:rsid w:val="00206EB6"/>
    <w:rsid w:val="00207AB1"/>
    <w:rsid w:val="00207C0D"/>
    <w:rsid w:val="00207F5F"/>
    <w:rsid w:val="00213F2C"/>
    <w:rsid w:val="002143D7"/>
    <w:rsid w:val="002159A2"/>
    <w:rsid w:val="00223AED"/>
    <w:rsid w:val="00224705"/>
    <w:rsid w:val="00224F73"/>
    <w:rsid w:val="002259BC"/>
    <w:rsid w:val="00226C9E"/>
    <w:rsid w:val="00226EDE"/>
    <w:rsid w:val="00227196"/>
    <w:rsid w:val="00230396"/>
    <w:rsid w:val="00230FEC"/>
    <w:rsid w:val="00233145"/>
    <w:rsid w:val="00234283"/>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358"/>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52B"/>
    <w:rsid w:val="002A0E78"/>
    <w:rsid w:val="002A1DBB"/>
    <w:rsid w:val="002A29F5"/>
    <w:rsid w:val="002A43F6"/>
    <w:rsid w:val="002A535C"/>
    <w:rsid w:val="002A5B0F"/>
    <w:rsid w:val="002A7715"/>
    <w:rsid w:val="002A7A6E"/>
    <w:rsid w:val="002B1C64"/>
    <w:rsid w:val="002B2B3A"/>
    <w:rsid w:val="002B3FFC"/>
    <w:rsid w:val="002B4B30"/>
    <w:rsid w:val="002B68DF"/>
    <w:rsid w:val="002B76DE"/>
    <w:rsid w:val="002C22AC"/>
    <w:rsid w:val="002C4A32"/>
    <w:rsid w:val="002C5095"/>
    <w:rsid w:val="002C5240"/>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E7D5F"/>
    <w:rsid w:val="002F0215"/>
    <w:rsid w:val="002F0E3A"/>
    <w:rsid w:val="002F1C76"/>
    <w:rsid w:val="002F543D"/>
    <w:rsid w:val="002F695A"/>
    <w:rsid w:val="002F7B3A"/>
    <w:rsid w:val="002F7D6A"/>
    <w:rsid w:val="00300D9B"/>
    <w:rsid w:val="00302D20"/>
    <w:rsid w:val="0030380B"/>
    <w:rsid w:val="00305185"/>
    <w:rsid w:val="00307243"/>
    <w:rsid w:val="003078DE"/>
    <w:rsid w:val="00310F8A"/>
    <w:rsid w:val="00311BF7"/>
    <w:rsid w:val="00312C48"/>
    <w:rsid w:val="003148A3"/>
    <w:rsid w:val="00315933"/>
    <w:rsid w:val="0031779E"/>
    <w:rsid w:val="00317821"/>
    <w:rsid w:val="003200D8"/>
    <w:rsid w:val="00322D4D"/>
    <w:rsid w:val="00324C7F"/>
    <w:rsid w:val="00327338"/>
    <w:rsid w:val="003307E5"/>
    <w:rsid w:val="0033094F"/>
    <w:rsid w:val="00332709"/>
    <w:rsid w:val="0033454F"/>
    <w:rsid w:val="00334ADB"/>
    <w:rsid w:val="00335515"/>
    <w:rsid w:val="00336FB6"/>
    <w:rsid w:val="003374FC"/>
    <w:rsid w:val="00337CB2"/>
    <w:rsid w:val="00340792"/>
    <w:rsid w:val="00342683"/>
    <w:rsid w:val="003427F9"/>
    <w:rsid w:val="00343AA4"/>
    <w:rsid w:val="00345081"/>
    <w:rsid w:val="00345282"/>
    <w:rsid w:val="0034607B"/>
    <w:rsid w:val="00346172"/>
    <w:rsid w:val="0034735E"/>
    <w:rsid w:val="00350052"/>
    <w:rsid w:val="00351029"/>
    <w:rsid w:val="003526D9"/>
    <w:rsid w:val="00355339"/>
    <w:rsid w:val="003558DA"/>
    <w:rsid w:val="00356D22"/>
    <w:rsid w:val="0035711C"/>
    <w:rsid w:val="00360F87"/>
    <w:rsid w:val="0036348A"/>
    <w:rsid w:val="0037090C"/>
    <w:rsid w:val="00372242"/>
    <w:rsid w:val="00372F30"/>
    <w:rsid w:val="003733DF"/>
    <w:rsid w:val="00373C91"/>
    <w:rsid w:val="00374089"/>
    <w:rsid w:val="00376B73"/>
    <w:rsid w:val="0037708B"/>
    <w:rsid w:val="003773F3"/>
    <w:rsid w:val="00380F2A"/>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0F04"/>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5B7"/>
    <w:rsid w:val="003D27A0"/>
    <w:rsid w:val="003D2BD4"/>
    <w:rsid w:val="003D3836"/>
    <w:rsid w:val="003D41CD"/>
    <w:rsid w:val="003D4DB6"/>
    <w:rsid w:val="003D4E80"/>
    <w:rsid w:val="003D6393"/>
    <w:rsid w:val="003D6856"/>
    <w:rsid w:val="003E102D"/>
    <w:rsid w:val="003E2567"/>
    <w:rsid w:val="003E366A"/>
    <w:rsid w:val="003E5C09"/>
    <w:rsid w:val="003F06EA"/>
    <w:rsid w:val="003F0DF2"/>
    <w:rsid w:val="003F134F"/>
    <w:rsid w:val="003F292C"/>
    <w:rsid w:val="003F36CB"/>
    <w:rsid w:val="003F47AC"/>
    <w:rsid w:val="003F62A9"/>
    <w:rsid w:val="003F6B42"/>
    <w:rsid w:val="003F74A3"/>
    <w:rsid w:val="003F7C53"/>
    <w:rsid w:val="00402CEA"/>
    <w:rsid w:val="004056E2"/>
    <w:rsid w:val="00405C72"/>
    <w:rsid w:val="0040735B"/>
    <w:rsid w:val="00407685"/>
    <w:rsid w:val="00412355"/>
    <w:rsid w:val="004132B4"/>
    <w:rsid w:val="004135E8"/>
    <w:rsid w:val="00414A36"/>
    <w:rsid w:val="00415B7B"/>
    <w:rsid w:val="00416D37"/>
    <w:rsid w:val="00417CAD"/>
    <w:rsid w:val="004203AA"/>
    <w:rsid w:val="00420707"/>
    <w:rsid w:val="00420717"/>
    <w:rsid w:val="004225C2"/>
    <w:rsid w:val="00424E91"/>
    <w:rsid w:val="0042528F"/>
    <w:rsid w:val="00427EB7"/>
    <w:rsid w:val="00432290"/>
    <w:rsid w:val="00436DA8"/>
    <w:rsid w:val="004416D6"/>
    <w:rsid w:val="00441AA9"/>
    <w:rsid w:val="00441D6D"/>
    <w:rsid w:val="00441DA9"/>
    <w:rsid w:val="004424F8"/>
    <w:rsid w:val="004432BF"/>
    <w:rsid w:val="00444D48"/>
    <w:rsid w:val="004453FF"/>
    <w:rsid w:val="00446AF9"/>
    <w:rsid w:val="0044700A"/>
    <w:rsid w:val="00450D79"/>
    <w:rsid w:val="00450F3A"/>
    <w:rsid w:val="004512D6"/>
    <w:rsid w:val="004523E2"/>
    <w:rsid w:val="00455648"/>
    <w:rsid w:val="004558F2"/>
    <w:rsid w:val="0046013D"/>
    <w:rsid w:val="00460A8A"/>
    <w:rsid w:val="00461975"/>
    <w:rsid w:val="00461C8C"/>
    <w:rsid w:val="00462FF7"/>
    <w:rsid w:val="004635D9"/>
    <w:rsid w:val="004640D9"/>
    <w:rsid w:val="00464295"/>
    <w:rsid w:val="00464F13"/>
    <w:rsid w:val="004666F9"/>
    <w:rsid w:val="0046701D"/>
    <w:rsid w:val="00467F7B"/>
    <w:rsid w:val="004700FA"/>
    <w:rsid w:val="0047044B"/>
    <w:rsid w:val="00470C7B"/>
    <w:rsid w:val="00470F8A"/>
    <w:rsid w:val="004746B6"/>
    <w:rsid w:val="00475C81"/>
    <w:rsid w:val="0047703D"/>
    <w:rsid w:val="004774A7"/>
    <w:rsid w:val="00477FB9"/>
    <w:rsid w:val="00480612"/>
    <w:rsid w:val="004810F6"/>
    <w:rsid w:val="00482ABB"/>
    <w:rsid w:val="00484C85"/>
    <w:rsid w:val="00484EED"/>
    <w:rsid w:val="00487EF2"/>
    <w:rsid w:val="00491D23"/>
    <w:rsid w:val="00491E13"/>
    <w:rsid w:val="00491F9B"/>
    <w:rsid w:val="0049453E"/>
    <w:rsid w:val="00495E94"/>
    <w:rsid w:val="004962EE"/>
    <w:rsid w:val="00497E01"/>
    <w:rsid w:val="00497F48"/>
    <w:rsid w:val="004A097E"/>
    <w:rsid w:val="004A0CE7"/>
    <w:rsid w:val="004A2208"/>
    <w:rsid w:val="004A2C6E"/>
    <w:rsid w:val="004A388F"/>
    <w:rsid w:val="004A4C1E"/>
    <w:rsid w:val="004B02BF"/>
    <w:rsid w:val="004B0AE6"/>
    <w:rsid w:val="004B0B22"/>
    <w:rsid w:val="004B26A6"/>
    <w:rsid w:val="004B3608"/>
    <w:rsid w:val="004B3B7B"/>
    <w:rsid w:val="004B4F4D"/>
    <w:rsid w:val="004B5B02"/>
    <w:rsid w:val="004C12F4"/>
    <w:rsid w:val="004C30B7"/>
    <w:rsid w:val="004C39C7"/>
    <w:rsid w:val="004C741B"/>
    <w:rsid w:val="004D12A2"/>
    <w:rsid w:val="004D1759"/>
    <w:rsid w:val="004D2A11"/>
    <w:rsid w:val="004D4EDA"/>
    <w:rsid w:val="004D6F21"/>
    <w:rsid w:val="004E07DE"/>
    <w:rsid w:val="004E0D12"/>
    <w:rsid w:val="004E115C"/>
    <w:rsid w:val="004E1AB5"/>
    <w:rsid w:val="004E2731"/>
    <w:rsid w:val="004E36B7"/>
    <w:rsid w:val="004E528A"/>
    <w:rsid w:val="004E5CA8"/>
    <w:rsid w:val="004E7D3D"/>
    <w:rsid w:val="004F051D"/>
    <w:rsid w:val="004F0830"/>
    <w:rsid w:val="004F0844"/>
    <w:rsid w:val="004F20DA"/>
    <w:rsid w:val="004F225F"/>
    <w:rsid w:val="004F4697"/>
    <w:rsid w:val="004F5CDA"/>
    <w:rsid w:val="004F5FE6"/>
    <w:rsid w:val="004F6060"/>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17552"/>
    <w:rsid w:val="00520EC2"/>
    <w:rsid w:val="00521820"/>
    <w:rsid w:val="0052615B"/>
    <w:rsid w:val="00526329"/>
    <w:rsid w:val="0052662A"/>
    <w:rsid w:val="0053052F"/>
    <w:rsid w:val="00530CBA"/>
    <w:rsid w:val="00532103"/>
    <w:rsid w:val="00535AF4"/>
    <w:rsid w:val="00536A2B"/>
    <w:rsid w:val="00541D6D"/>
    <w:rsid w:val="005439E5"/>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2E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58AB"/>
    <w:rsid w:val="00587F47"/>
    <w:rsid w:val="00591AF6"/>
    <w:rsid w:val="00592468"/>
    <w:rsid w:val="0059286C"/>
    <w:rsid w:val="00592ECD"/>
    <w:rsid w:val="005938A0"/>
    <w:rsid w:val="00593AE8"/>
    <w:rsid w:val="005941C8"/>
    <w:rsid w:val="0059435E"/>
    <w:rsid w:val="005950FC"/>
    <w:rsid w:val="00595E65"/>
    <w:rsid w:val="0059611B"/>
    <w:rsid w:val="00596A18"/>
    <w:rsid w:val="00596FC4"/>
    <w:rsid w:val="005A3243"/>
    <w:rsid w:val="005A42F5"/>
    <w:rsid w:val="005A5B49"/>
    <w:rsid w:val="005B014B"/>
    <w:rsid w:val="005B1F5F"/>
    <w:rsid w:val="005B26C6"/>
    <w:rsid w:val="005B4ACF"/>
    <w:rsid w:val="005B53EB"/>
    <w:rsid w:val="005B5D40"/>
    <w:rsid w:val="005B6E5E"/>
    <w:rsid w:val="005B73A2"/>
    <w:rsid w:val="005C267B"/>
    <w:rsid w:val="005C33BE"/>
    <w:rsid w:val="005C43E2"/>
    <w:rsid w:val="005C4A56"/>
    <w:rsid w:val="005C6838"/>
    <w:rsid w:val="005C7DF9"/>
    <w:rsid w:val="005D174B"/>
    <w:rsid w:val="005D1A85"/>
    <w:rsid w:val="005D344F"/>
    <w:rsid w:val="005D6B75"/>
    <w:rsid w:val="005D7256"/>
    <w:rsid w:val="005E099E"/>
    <w:rsid w:val="005E190A"/>
    <w:rsid w:val="005E31BD"/>
    <w:rsid w:val="005E3536"/>
    <w:rsid w:val="005E4943"/>
    <w:rsid w:val="005E5C81"/>
    <w:rsid w:val="005E66A5"/>
    <w:rsid w:val="005E6BA7"/>
    <w:rsid w:val="005E6D26"/>
    <w:rsid w:val="005F0A27"/>
    <w:rsid w:val="005F45B6"/>
    <w:rsid w:val="005F481A"/>
    <w:rsid w:val="005F5AAA"/>
    <w:rsid w:val="005F6F3A"/>
    <w:rsid w:val="00600E27"/>
    <w:rsid w:val="00601777"/>
    <w:rsid w:val="00602CDA"/>
    <w:rsid w:val="00606D9D"/>
    <w:rsid w:val="00607A00"/>
    <w:rsid w:val="00611A28"/>
    <w:rsid w:val="00612E84"/>
    <w:rsid w:val="00613DB3"/>
    <w:rsid w:val="006150CF"/>
    <w:rsid w:val="00615A54"/>
    <w:rsid w:val="00616C24"/>
    <w:rsid w:val="0062020F"/>
    <w:rsid w:val="006210BA"/>
    <w:rsid w:val="00626158"/>
    <w:rsid w:val="006270F6"/>
    <w:rsid w:val="00630900"/>
    <w:rsid w:val="006315B7"/>
    <w:rsid w:val="00631EE5"/>
    <w:rsid w:val="00635D2B"/>
    <w:rsid w:val="00636EA2"/>
    <w:rsid w:val="0064145B"/>
    <w:rsid w:val="0064173C"/>
    <w:rsid w:val="00643423"/>
    <w:rsid w:val="00645964"/>
    <w:rsid w:val="006479F8"/>
    <w:rsid w:val="006500E1"/>
    <w:rsid w:val="006565FB"/>
    <w:rsid w:val="0066130A"/>
    <w:rsid w:val="00661FB2"/>
    <w:rsid w:val="00663772"/>
    <w:rsid w:val="00666A12"/>
    <w:rsid w:val="00671861"/>
    <w:rsid w:val="00672234"/>
    <w:rsid w:val="00672255"/>
    <w:rsid w:val="00674F24"/>
    <w:rsid w:val="00676B67"/>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119"/>
    <w:rsid w:val="0069428A"/>
    <w:rsid w:val="00695418"/>
    <w:rsid w:val="00696758"/>
    <w:rsid w:val="00696DFF"/>
    <w:rsid w:val="006A061F"/>
    <w:rsid w:val="006A1592"/>
    <w:rsid w:val="006A17B3"/>
    <w:rsid w:val="006A3C57"/>
    <w:rsid w:val="006A5CD5"/>
    <w:rsid w:val="006A5E17"/>
    <w:rsid w:val="006B0DD4"/>
    <w:rsid w:val="006B4E6A"/>
    <w:rsid w:val="006B75F2"/>
    <w:rsid w:val="006C009A"/>
    <w:rsid w:val="006C0465"/>
    <w:rsid w:val="006C2972"/>
    <w:rsid w:val="006C3574"/>
    <w:rsid w:val="006C4ADE"/>
    <w:rsid w:val="006C618D"/>
    <w:rsid w:val="006D1D05"/>
    <w:rsid w:val="006D210A"/>
    <w:rsid w:val="006D3424"/>
    <w:rsid w:val="006D3AD5"/>
    <w:rsid w:val="006D4FE3"/>
    <w:rsid w:val="006D7A53"/>
    <w:rsid w:val="006D7B22"/>
    <w:rsid w:val="006D7FD3"/>
    <w:rsid w:val="006E0155"/>
    <w:rsid w:val="006E2965"/>
    <w:rsid w:val="006E2F36"/>
    <w:rsid w:val="006E64AD"/>
    <w:rsid w:val="006E6940"/>
    <w:rsid w:val="006E78AE"/>
    <w:rsid w:val="006F0AD6"/>
    <w:rsid w:val="006F13A0"/>
    <w:rsid w:val="006F1616"/>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37D61"/>
    <w:rsid w:val="007409D2"/>
    <w:rsid w:val="00740E35"/>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1C30"/>
    <w:rsid w:val="007839B6"/>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A7AAE"/>
    <w:rsid w:val="007B01C2"/>
    <w:rsid w:val="007B01DA"/>
    <w:rsid w:val="007B0A4A"/>
    <w:rsid w:val="007B1D15"/>
    <w:rsid w:val="007B3F18"/>
    <w:rsid w:val="007B4DCF"/>
    <w:rsid w:val="007B5B2A"/>
    <w:rsid w:val="007C027D"/>
    <w:rsid w:val="007C0F85"/>
    <w:rsid w:val="007C2A41"/>
    <w:rsid w:val="007C2C83"/>
    <w:rsid w:val="007C30DD"/>
    <w:rsid w:val="007C4F86"/>
    <w:rsid w:val="007C5574"/>
    <w:rsid w:val="007C64EB"/>
    <w:rsid w:val="007C728A"/>
    <w:rsid w:val="007C7588"/>
    <w:rsid w:val="007C7961"/>
    <w:rsid w:val="007D054F"/>
    <w:rsid w:val="007D0F56"/>
    <w:rsid w:val="007D1F65"/>
    <w:rsid w:val="007D2A91"/>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2ED0"/>
    <w:rsid w:val="007F39D3"/>
    <w:rsid w:val="007F52BC"/>
    <w:rsid w:val="007F729C"/>
    <w:rsid w:val="007F7B32"/>
    <w:rsid w:val="007F7EA0"/>
    <w:rsid w:val="008009D6"/>
    <w:rsid w:val="00801A4A"/>
    <w:rsid w:val="00801C74"/>
    <w:rsid w:val="00801FB4"/>
    <w:rsid w:val="008055F7"/>
    <w:rsid w:val="00807D21"/>
    <w:rsid w:val="00810FB8"/>
    <w:rsid w:val="008121F2"/>
    <w:rsid w:val="00812EF7"/>
    <w:rsid w:val="00814408"/>
    <w:rsid w:val="00815DCA"/>
    <w:rsid w:val="008162DE"/>
    <w:rsid w:val="00817E89"/>
    <w:rsid w:val="0082070B"/>
    <w:rsid w:val="00826443"/>
    <w:rsid w:val="00827917"/>
    <w:rsid w:val="00832CEC"/>
    <w:rsid w:val="0083370F"/>
    <w:rsid w:val="00834138"/>
    <w:rsid w:val="00834166"/>
    <w:rsid w:val="00834BCD"/>
    <w:rsid w:val="00835576"/>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74F"/>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3B0"/>
    <w:rsid w:val="008B5869"/>
    <w:rsid w:val="008B60C5"/>
    <w:rsid w:val="008B6269"/>
    <w:rsid w:val="008B7C1E"/>
    <w:rsid w:val="008C1792"/>
    <w:rsid w:val="008C238B"/>
    <w:rsid w:val="008C2508"/>
    <w:rsid w:val="008C2C9C"/>
    <w:rsid w:val="008C5561"/>
    <w:rsid w:val="008C7BCB"/>
    <w:rsid w:val="008D12EA"/>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2376"/>
    <w:rsid w:val="00902C80"/>
    <w:rsid w:val="009048AF"/>
    <w:rsid w:val="00906DAE"/>
    <w:rsid w:val="00907DF8"/>
    <w:rsid w:val="00910583"/>
    <w:rsid w:val="00912CA1"/>
    <w:rsid w:val="0091489B"/>
    <w:rsid w:val="00916858"/>
    <w:rsid w:val="009169F6"/>
    <w:rsid w:val="009174B2"/>
    <w:rsid w:val="00920CF6"/>
    <w:rsid w:val="00922AE3"/>
    <w:rsid w:val="009241DB"/>
    <w:rsid w:val="00924B8A"/>
    <w:rsid w:val="009301A7"/>
    <w:rsid w:val="009321B7"/>
    <w:rsid w:val="00932C85"/>
    <w:rsid w:val="00933CFF"/>
    <w:rsid w:val="00940B5B"/>
    <w:rsid w:val="00946724"/>
    <w:rsid w:val="00946944"/>
    <w:rsid w:val="009473ED"/>
    <w:rsid w:val="009509B8"/>
    <w:rsid w:val="009533A5"/>
    <w:rsid w:val="009572D9"/>
    <w:rsid w:val="0096009D"/>
    <w:rsid w:val="0096034C"/>
    <w:rsid w:val="009613E6"/>
    <w:rsid w:val="00961FEC"/>
    <w:rsid w:val="009621B2"/>
    <w:rsid w:val="00962722"/>
    <w:rsid w:val="009639CB"/>
    <w:rsid w:val="00963FB7"/>
    <w:rsid w:val="00965FB2"/>
    <w:rsid w:val="009705D1"/>
    <w:rsid w:val="00970B2B"/>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B7270"/>
    <w:rsid w:val="009C0B04"/>
    <w:rsid w:val="009C1817"/>
    <w:rsid w:val="009C1E7F"/>
    <w:rsid w:val="009C2BB5"/>
    <w:rsid w:val="009C417C"/>
    <w:rsid w:val="009C5CF0"/>
    <w:rsid w:val="009D1159"/>
    <w:rsid w:val="009D1471"/>
    <w:rsid w:val="009D1A99"/>
    <w:rsid w:val="009D3181"/>
    <w:rsid w:val="009D524C"/>
    <w:rsid w:val="009D5F63"/>
    <w:rsid w:val="009D7CFE"/>
    <w:rsid w:val="009D7ED3"/>
    <w:rsid w:val="009E046C"/>
    <w:rsid w:val="009E16C5"/>
    <w:rsid w:val="009E2ABD"/>
    <w:rsid w:val="009E50F7"/>
    <w:rsid w:val="009E5E3E"/>
    <w:rsid w:val="009E61BC"/>
    <w:rsid w:val="009E7A93"/>
    <w:rsid w:val="009E7C90"/>
    <w:rsid w:val="009F1672"/>
    <w:rsid w:val="009F2E7B"/>
    <w:rsid w:val="009F3B9F"/>
    <w:rsid w:val="009F3DF7"/>
    <w:rsid w:val="009F4404"/>
    <w:rsid w:val="009F5D68"/>
    <w:rsid w:val="009F6829"/>
    <w:rsid w:val="009F6C5D"/>
    <w:rsid w:val="009F6D71"/>
    <w:rsid w:val="009F6E05"/>
    <w:rsid w:val="009F74BB"/>
    <w:rsid w:val="009F7610"/>
    <w:rsid w:val="009F77ED"/>
    <w:rsid w:val="00A00DED"/>
    <w:rsid w:val="00A03653"/>
    <w:rsid w:val="00A04BE2"/>
    <w:rsid w:val="00A1070B"/>
    <w:rsid w:val="00A11B00"/>
    <w:rsid w:val="00A11E38"/>
    <w:rsid w:val="00A1206B"/>
    <w:rsid w:val="00A126F6"/>
    <w:rsid w:val="00A1293E"/>
    <w:rsid w:val="00A130E4"/>
    <w:rsid w:val="00A15B11"/>
    <w:rsid w:val="00A1668B"/>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161"/>
    <w:rsid w:val="00A40627"/>
    <w:rsid w:val="00A4379E"/>
    <w:rsid w:val="00A445FE"/>
    <w:rsid w:val="00A46AEA"/>
    <w:rsid w:val="00A4705F"/>
    <w:rsid w:val="00A51DF2"/>
    <w:rsid w:val="00A5215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438"/>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53E0"/>
    <w:rsid w:val="00AD709D"/>
    <w:rsid w:val="00AE0C14"/>
    <w:rsid w:val="00AE0E40"/>
    <w:rsid w:val="00AE12B7"/>
    <w:rsid w:val="00AE1C58"/>
    <w:rsid w:val="00AE2CF1"/>
    <w:rsid w:val="00AE3610"/>
    <w:rsid w:val="00AE3A12"/>
    <w:rsid w:val="00AE67F5"/>
    <w:rsid w:val="00AE7388"/>
    <w:rsid w:val="00AF0BC3"/>
    <w:rsid w:val="00AF1BC4"/>
    <w:rsid w:val="00AF54C5"/>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0CE3"/>
    <w:rsid w:val="00B3309C"/>
    <w:rsid w:val="00B37F07"/>
    <w:rsid w:val="00B4154C"/>
    <w:rsid w:val="00B41646"/>
    <w:rsid w:val="00B41FAB"/>
    <w:rsid w:val="00B42236"/>
    <w:rsid w:val="00B45F12"/>
    <w:rsid w:val="00B46F72"/>
    <w:rsid w:val="00B4724A"/>
    <w:rsid w:val="00B47796"/>
    <w:rsid w:val="00B47B28"/>
    <w:rsid w:val="00B54054"/>
    <w:rsid w:val="00B5500E"/>
    <w:rsid w:val="00B552C4"/>
    <w:rsid w:val="00B55381"/>
    <w:rsid w:val="00B55486"/>
    <w:rsid w:val="00B555DF"/>
    <w:rsid w:val="00B56F20"/>
    <w:rsid w:val="00B5772B"/>
    <w:rsid w:val="00B5775D"/>
    <w:rsid w:val="00B579EB"/>
    <w:rsid w:val="00B60532"/>
    <w:rsid w:val="00B6146C"/>
    <w:rsid w:val="00B65466"/>
    <w:rsid w:val="00B66E32"/>
    <w:rsid w:val="00B676B6"/>
    <w:rsid w:val="00B711CE"/>
    <w:rsid w:val="00B7132C"/>
    <w:rsid w:val="00B71D5B"/>
    <w:rsid w:val="00B7225B"/>
    <w:rsid w:val="00B741A5"/>
    <w:rsid w:val="00B74293"/>
    <w:rsid w:val="00B7485A"/>
    <w:rsid w:val="00B766E4"/>
    <w:rsid w:val="00B76C23"/>
    <w:rsid w:val="00B77710"/>
    <w:rsid w:val="00B844F8"/>
    <w:rsid w:val="00B84744"/>
    <w:rsid w:val="00B84AFC"/>
    <w:rsid w:val="00B86F07"/>
    <w:rsid w:val="00B873B7"/>
    <w:rsid w:val="00B91AC8"/>
    <w:rsid w:val="00B9440D"/>
    <w:rsid w:val="00B961C7"/>
    <w:rsid w:val="00BA07A8"/>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2767"/>
    <w:rsid w:val="00BD3E3A"/>
    <w:rsid w:val="00BD4DB2"/>
    <w:rsid w:val="00BD6109"/>
    <w:rsid w:val="00BE0008"/>
    <w:rsid w:val="00BE13AD"/>
    <w:rsid w:val="00BE22FC"/>
    <w:rsid w:val="00BE410E"/>
    <w:rsid w:val="00BE4846"/>
    <w:rsid w:val="00BE6C20"/>
    <w:rsid w:val="00BF08C1"/>
    <w:rsid w:val="00BF0AE5"/>
    <w:rsid w:val="00BF23F9"/>
    <w:rsid w:val="00BF3C14"/>
    <w:rsid w:val="00BF5B6C"/>
    <w:rsid w:val="00BF703C"/>
    <w:rsid w:val="00C00678"/>
    <w:rsid w:val="00C00FCE"/>
    <w:rsid w:val="00C033C0"/>
    <w:rsid w:val="00C039AD"/>
    <w:rsid w:val="00C07521"/>
    <w:rsid w:val="00C0761A"/>
    <w:rsid w:val="00C124E8"/>
    <w:rsid w:val="00C12C87"/>
    <w:rsid w:val="00C130E3"/>
    <w:rsid w:val="00C140E5"/>
    <w:rsid w:val="00C15DBC"/>
    <w:rsid w:val="00C1703D"/>
    <w:rsid w:val="00C172BE"/>
    <w:rsid w:val="00C2481A"/>
    <w:rsid w:val="00C25AB8"/>
    <w:rsid w:val="00C27D00"/>
    <w:rsid w:val="00C27FC9"/>
    <w:rsid w:val="00C322E7"/>
    <w:rsid w:val="00C326DA"/>
    <w:rsid w:val="00C34435"/>
    <w:rsid w:val="00C35A63"/>
    <w:rsid w:val="00C35E49"/>
    <w:rsid w:val="00C36F20"/>
    <w:rsid w:val="00C37D1F"/>
    <w:rsid w:val="00C42A76"/>
    <w:rsid w:val="00C42D07"/>
    <w:rsid w:val="00C434BA"/>
    <w:rsid w:val="00C43E92"/>
    <w:rsid w:val="00C44AEF"/>
    <w:rsid w:val="00C46EF9"/>
    <w:rsid w:val="00C46F8B"/>
    <w:rsid w:val="00C5524B"/>
    <w:rsid w:val="00C60D56"/>
    <w:rsid w:val="00C6107E"/>
    <w:rsid w:val="00C61799"/>
    <w:rsid w:val="00C62B0A"/>
    <w:rsid w:val="00C63276"/>
    <w:rsid w:val="00C640DA"/>
    <w:rsid w:val="00C644B7"/>
    <w:rsid w:val="00C64E6C"/>
    <w:rsid w:val="00C655CC"/>
    <w:rsid w:val="00C666AC"/>
    <w:rsid w:val="00C669BD"/>
    <w:rsid w:val="00C66D6B"/>
    <w:rsid w:val="00C717CB"/>
    <w:rsid w:val="00C7184D"/>
    <w:rsid w:val="00C7291B"/>
    <w:rsid w:val="00C73472"/>
    <w:rsid w:val="00C75499"/>
    <w:rsid w:val="00C758AB"/>
    <w:rsid w:val="00C77226"/>
    <w:rsid w:val="00C77B90"/>
    <w:rsid w:val="00C8019E"/>
    <w:rsid w:val="00C80CB3"/>
    <w:rsid w:val="00C83488"/>
    <w:rsid w:val="00C84CD9"/>
    <w:rsid w:val="00C864CD"/>
    <w:rsid w:val="00C91453"/>
    <w:rsid w:val="00C933AE"/>
    <w:rsid w:val="00C93D4C"/>
    <w:rsid w:val="00C943D1"/>
    <w:rsid w:val="00C945E7"/>
    <w:rsid w:val="00CA26DC"/>
    <w:rsid w:val="00CA2C3E"/>
    <w:rsid w:val="00CB1BBE"/>
    <w:rsid w:val="00CB416F"/>
    <w:rsid w:val="00CB48F1"/>
    <w:rsid w:val="00CB56EA"/>
    <w:rsid w:val="00CB7C6D"/>
    <w:rsid w:val="00CC0CB0"/>
    <w:rsid w:val="00CC5DB1"/>
    <w:rsid w:val="00CC766F"/>
    <w:rsid w:val="00CD3520"/>
    <w:rsid w:val="00CD3611"/>
    <w:rsid w:val="00CD4C2D"/>
    <w:rsid w:val="00CD5BB3"/>
    <w:rsid w:val="00CD7A9F"/>
    <w:rsid w:val="00CE0FDC"/>
    <w:rsid w:val="00CE2CAF"/>
    <w:rsid w:val="00CE2F15"/>
    <w:rsid w:val="00CE5E8E"/>
    <w:rsid w:val="00CE7D97"/>
    <w:rsid w:val="00CE7FD1"/>
    <w:rsid w:val="00CF278D"/>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33E3"/>
    <w:rsid w:val="00D23FA1"/>
    <w:rsid w:val="00D25A1B"/>
    <w:rsid w:val="00D303C4"/>
    <w:rsid w:val="00D30F1D"/>
    <w:rsid w:val="00D32BA0"/>
    <w:rsid w:val="00D33285"/>
    <w:rsid w:val="00D36405"/>
    <w:rsid w:val="00D36D77"/>
    <w:rsid w:val="00D406C9"/>
    <w:rsid w:val="00D40E8D"/>
    <w:rsid w:val="00D419DF"/>
    <w:rsid w:val="00D4238A"/>
    <w:rsid w:val="00D437A0"/>
    <w:rsid w:val="00D43EE8"/>
    <w:rsid w:val="00D46696"/>
    <w:rsid w:val="00D479A5"/>
    <w:rsid w:val="00D51181"/>
    <w:rsid w:val="00D5209F"/>
    <w:rsid w:val="00D526D7"/>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39AC"/>
    <w:rsid w:val="00D84136"/>
    <w:rsid w:val="00D84E38"/>
    <w:rsid w:val="00D90649"/>
    <w:rsid w:val="00D908A0"/>
    <w:rsid w:val="00D9199F"/>
    <w:rsid w:val="00D933CF"/>
    <w:rsid w:val="00D93837"/>
    <w:rsid w:val="00D93DFC"/>
    <w:rsid w:val="00D95CD7"/>
    <w:rsid w:val="00D961C7"/>
    <w:rsid w:val="00DA069F"/>
    <w:rsid w:val="00DA180A"/>
    <w:rsid w:val="00DA4682"/>
    <w:rsid w:val="00DA4AB5"/>
    <w:rsid w:val="00DA4BD5"/>
    <w:rsid w:val="00DA55B1"/>
    <w:rsid w:val="00DB12F8"/>
    <w:rsid w:val="00DB2809"/>
    <w:rsid w:val="00DB3214"/>
    <w:rsid w:val="00DB3DA7"/>
    <w:rsid w:val="00DB47E0"/>
    <w:rsid w:val="00DB56E1"/>
    <w:rsid w:val="00DB7332"/>
    <w:rsid w:val="00DB75DB"/>
    <w:rsid w:val="00DB7B04"/>
    <w:rsid w:val="00DC476B"/>
    <w:rsid w:val="00DD0777"/>
    <w:rsid w:val="00DD12A4"/>
    <w:rsid w:val="00DD2962"/>
    <w:rsid w:val="00DD2D26"/>
    <w:rsid w:val="00DD3935"/>
    <w:rsid w:val="00DD3A45"/>
    <w:rsid w:val="00DD3E4F"/>
    <w:rsid w:val="00DD53A8"/>
    <w:rsid w:val="00DD54ED"/>
    <w:rsid w:val="00DD6AAC"/>
    <w:rsid w:val="00DD6EBE"/>
    <w:rsid w:val="00DD73AD"/>
    <w:rsid w:val="00DE157C"/>
    <w:rsid w:val="00DE52CB"/>
    <w:rsid w:val="00DE598F"/>
    <w:rsid w:val="00DF0B6F"/>
    <w:rsid w:val="00DF1ABF"/>
    <w:rsid w:val="00DF3A43"/>
    <w:rsid w:val="00DF635D"/>
    <w:rsid w:val="00DF71A0"/>
    <w:rsid w:val="00DF766C"/>
    <w:rsid w:val="00E009BA"/>
    <w:rsid w:val="00E0136F"/>
    <w:rsid w:val="00E01DD1"/>
    <w:rsid w:val="00E01FD5"/>
    <w:rsid w:val="00E02711"/>
    <w:rsid w:val="00E06CB6"/>
    <w:rsid w:val="00E070D7"/>
    <w:rsid w:val="00E077F7"/>
    <w:rsid w:val="00E07C93"/>
    <w:rsid w:val="00E1070E"/>
    <w:rsid w:val="00E11D20"/>
    <w:rsid w:val="00E136E7"/>
    <w:rsid w:val="00E137FD"/>
    <w:rsid w:val="00E13ED9"/>
    <w:rsid w:val="00E1406A"/>
    <w:rsid w:val="00E14B17"/>
    <w:rsid w:val="00E15A87"/>
    <w:rsid w:val="00E17010"/>
    <w:rsid w:val="00E17B07"/>
    <w:rsid w:val="00E247F0"/>
    <w:rsid w:val="00E26778"/>
    <w:rsid w:val="00E30077"/>
    <w:rsid w:val="00E30316"/>
    <w:rsid w:val="00E30CAA"/>
    <w:rsid w:val="00E32156"/>
    <w:rsid w:val="00E33FCB"/>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052F"/>
    <w:rsid w:val="00E71F89"/>
    <w:rsid w:val="00E723C6"/>
    <w:rsid w:val="00E72971"/>
    <w:rsid w:val="00E73DA3"/>
    <w:rsid w:val="00E73DC5"/>
    <w:rsid w:val="00E740D7"/>
    <w:rsid w:val="00E752F9"/>
    <w:rsid w:val="00E755E2"/>
    <w:rsid w:val="00E77FC8"/>
    <w:rsid w:val="00E802B9"/>
    <w:rsid w:val="00E8048F"/>
    <w:rsid w:val="00E8050F"/>
    <w:rsid w:val="00E818C8"/>
    <w:rsid w:val="00E81E79"/>
    <w:rsid w:val="00E825CC"/>
    <w:rsid w:val="00E82B2C"/>
    <w:rsid w:val="00E8341C"/>
    <w:rsid w:val="00E84719"/>
    <w:rsid w:val="00E86C19"/>
    <w:rsid w:val="00E87019"/>
    <w:rsid w:val="00E91B47"/>
    <w:rsid w:val="00E91CB3"/>
    <w:rsid w:val="00E9364D"/>
    <w:rsid w:val="00E945C3"/>
    <w:rsid w:val="00E96176"/>
    <w:rsid w:val="00E96386"/>
    <w:rsid w:val="00EA04D3"/>
    <w:rsid w:val="00EA1773"/>
    <w:rsid w:val="00EA6431"/>
    <w:rsid w:val="00EA6B1D"/>
    <w:rsid w:val="00EA70FE"/>
    <w:rsid w:val="00EA7144"/>
    <w:rsid w:val="00EB02ED"/>
    <w:rsid w:val="00EB05A6"/>
    <w:rsid w:val="00EB1572"/>
    <w:rsid w:val="00EB2538"/>
    <w:rsid w:val="00EB2E86"/>
    <w:rsid w:val="00EB35A2"/>
    <w:rsid w:val="00EB430B"/>
    <w:rsid w:val="00EB4F75"/>
    <w:rsid w:val="00EB598B"/>
    <w:rsid w:val="00EB75F5"/>
    <w:rsid w:val="00EB7B2C"/>
    <w:rsid w:val="00EB7C23"/>
    <w:rsid w:val="00EB7DE9"/>
    <w:rsid w:val="00EC3AA4"/>
    <w:rsid w:val="00EC550F"/>
    <w:rsid w:val="00EC6325"/>
    <w:rsid w:val="00EC73FB"/>
    <w:rsid w:val="00ED0FBC"/>
    <w:rsid w:val="00ED32E0"/>
    <w:rsid w:val="00ED3567"/>
    <w:rsid w:val="00ED37CF"/>
    <w:rsid w:val="00ED4871"/>
    <w:rsid w:val="00ED4F18"/>
    <w:rsid w:val="00ED58AF"/>
    <w:rsid w:val="00ED5D67"/>
    <w:rsid w:val="00ED6079"/>
    <w:rsid w:val="00ED645E"/>
    <w:rsid w:val="00EE14F7"/>
    <w:rsid w:val="00EE3257"/>
    <w:rsid w:val="00EE32EF"/>
    <w:rsid w:val="00EE4714"/>
    <w:rsid w:val="00EE4A0A"/>
    <w:rsid w:val="00EE5D89"/>
    <w:rsid w:val="00EE6783"/>
    <w:rsid w:val="00EF0EBC"/>
    <w:rsid w:val="00EF4465"/>
    <w:rsid w:val="00EF5D06"/>
    <w:rsid w:val="00EF611B"/>
    <w:rsid w:val="00F004B7"/>
    <w:rsid w:val="00F0270B"/>
    <w:rsid w:val="00F04708"/>
    <w:rsid w:val="00F06B04"/>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5C44"/>
    <w:rsid w:val="00F269FD"/>
    <w:rsid w:val="00F2703C"/>
    <w:rsid w:val="00F30084"/>
    <w:rsid w:val="00F302B4"/>
    <w:rsid w:val="00F33A1B"/>
    <w:rsid w:val="00F34862"/>
    <w:rsid w:val="00F357A9"/>
    <w:rsid w:val="00F36045"/>
    <w:rsid w:val="00F36529"/>
    <w:rsid w:val="00F4070D"/>
    <w:rsid w:val="00F40FBF"/>
    <w:rsid w:val="00F41817"/>
    <w:rsid w:val="00F41B34"/>
    <w:rsid w:val="00F42228"/>
    <w:rsid w:val="00F42672"/>
    <w:rsid w:val="00F4280E"/>
    <w:rsid w:val="00F431C5"/>
    <w:rsid w:val="00F432C5"/>
    <w:rsid w:val="00F43CC7"/>
    <w:rsid w:val="00F4448F"/>
    <w:rsid w:val="00F4641B"/>
    <w:rsid w:val="00F46729"/>
    <w:rsid w:val="00F531A9"/>
    <w:rsid w:val="00F575A0"/>
    <w:rsid w:val="00F624DA"/>
    <w:rsid w:val="00F62762"/>
    <w:rsid w:val="00F65475"/>
    <w:rsid w:val="00F659CF"/>
    <w:rsid w:val="00F65BBE"/>
    <w:rsid w:val="00F66D5E"/>
    <w:rsid w:val="00F679DD"/>
    <w:rsid w:val="00F708B6"/>
    <w:rsid w:val="00F70BE8"/>
    <w:rsid w:val="00F70EFC"/>
    <w:rsid w:val="00F72C83"/>
    <w:rsid w:val="00F74151"/>
    <w:rsid w:val="00F74DEF"/>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6B3"/>
    <w:rsid w:val="00F94AFD"/>
    <w:rsid w:val="00F95026"/>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1FEC"/>
    <w:rsid w:val="00FB33A1"/>
    <w:rsid w:val="00FB3490"/>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C9E"/>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qFormat/>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iPriority w:val="99"/>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1E79"/>
    <w:rPr>
      <w:color w:val="605E5C"/>
      <w:shd w:val="clear" w:color="auto" w:fill="E1DFDD"/>
    </w:rPr>
  </w:style>
  <w:style w:type="paragraph" w:customStyle="1" w:styleId="indent-1">
    <w:name w:val="indent-1"/>
    <w:basedOn w:val="Normal"/>
    <w:rsid w:val="00D4238A"/>
    <w:pPr>
      <w:spacing w:before="100" w:beforeAutospacing="1" w:after="100" w:afterAutospacing="1"/>
    </w:pPr>
    <w:rPr>
      <w:rFonts w:eastAsia="Times New Roman"/>
      <w:sz w:val="24"/>
      <w:szCs w:val="24"/>
      <w:lang w:val="en-US"/>
    </w:rPr>
  </w:style>
  <w:style w:type="character" w:customStyle="1" w:styleId="paragraph-hierarchy">
    <w:name w:val="paragraph-hierarchy"/>
    <w:basedOn w:val="DefaultParagraphFont"/>
    <w:rsid w:val="00D4238A"/>
  </w:style>
  <w:style w:type="character" w:customStyle="1" w:styleId="paren">
    <w:name w:val="paren"/>
    <w:basedOn w:val="DefaultParagraphFont"/>
    <w:rsid w:val="00D42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485">
      <w:bodyDiv w:val="1"/>
      <w:marLeft w:val="0"/>
      <w:marRight w:val="0"/>
      <w:marTop w:val="0"/>
      <w:marBottom w:val="0"/>
      <w:divBdr>
        <w:top w:val="none" w:sz="0" w:space="0" w:color="auto"/>
        <w:left w:val="none" w:sz="0" w:space="0" w:color="auto"/>
        <w:bottom w:val="none" w:sz="0" w:space="0" w:color="auto"/>
        <w:right w:val="none" w:sz="0" w:space="0" w:color="auto"/>
      </w:divBdr>
      <w:divsChild>
        <w:div w:id="419104292">
          <w:marLeft w:val="0"/>
          <w:marRight w:val="75"/>
          <w:marTop w:val="0"/>
          <w:marBottom w:val="0"/>
          <w:divBdr>
            <w:top w:val="none" w:sz="0" w:space="0" w:color="auto"/>
            <w:left w:val="none" w:sz="0" w:space="0" w:color="auto"/>
            <w:bottom w:val="none" w:sz="0" w:space="0" w:color="auto"/>
            <w:right w:val="none" w:sz="0" w:space="0" w:color="auto"/>
          </w:divBdr>
        </w:div>
        <w:div w:id="667634243">
          <w:marLeft w:val="0"/>
          <w:marRight w:val="0"/>
          <w:marTop w:val="0"/>
          <w:marBottom w:val="0"/>
          <w:divBdr>
            <w:top w:val="none" w:sz="0" w:space="0" w:color="auto"/>
            <w:left w:val="none" w:sz="0" w:space="0" w:color="auto"/>
            <w:bottom w:val="none" w:sz="0" w:space="0" w:color="auto"/>
            <w:right w:val="none" w:sz="0" w:space="0" w:color="auto"/>
          </w:divBdr>
          <w:divsChild>
            <w:div w:id="16137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6294">
      <w:bodyDiv w:val="1"/>
      <w:marLeft w:val="0"/>
      <w:marRight w:val="0"/>
      <w:marTop w:val="0"/>
      <w:marBottom w:val="0"/>
      <w:divBdr>
        <w:top w:val="none" w:sz="0" w:space="0" w:color="auto"/>
        <w:left w:val="none" w:sz="0" w:space="0" w:color="auto"/>
        <w:bottom w:val="none" w:sz="0" w:space="0" w:color="auto"/>
        <w:right w:val="none" w:sz="0" w:space="0" w:color="auto"/>
      </w:divBdr>
      <w:divsChild>
        <w:div w:id="665131017">
          <w:marLeft w:val="0"/>
          <w:marRight w:val="0"/>
          <w:marTop w:val="0"/>
          <w:marBottom w:val="0"/>
          <w:divBdr>
            <w:top w:val="none" w:sz="0" w:space="0" w:color="auto"/>
            <w:left w:val="none" w:sz="0" w:space="0" w:color="auto"/>
            <w:bottom w:val="none" w:sz="0" w:space="0" w:color="auto"/>
            <w:right w:val="none" w:sz="0" w:space="0" w:color="auto"/>
          </w:divBdr>
        </w:div>
        <w:div w:id="574633253">
          <w:marLeft w:val="0"/>
          <w:marRight w:val="0"/>
          <w:marTop w:val="0"/>
          <w:marBottom w:val="0"/>
          <w:divBdr>
            <w:top w:val="none" w:sz="0" w:space="0" w:color="auto"/>
            <w:left w:val="none" w:sz="0" w:space="0" w:color="auto"/>
            <w:bottom w:val="none" w:sz="0" w:space="0" w:color="auto"/>
            <w:right w:val="none" w:sz="0" w:space="0" w:color="auto"/>
          </w:divBdr>
        </w:div>
        <w:div w:id="1424951904">
          <w:marLeft w:val="0"/>
          <w:marRight w:val="0"/>
          <w:marTop w:val="0"/>
          <w:marBottom w:val="0"/>
          <w:divBdr>
            <w:top w:val="none" w:sz="0" w:space="0" w:color="auto"/>
            <w:left w:val="none" w:sz="0" w:space="0" w:color="auto"/>
            <w:bottom w:val="none" w:sz="0" w:space="0" w:color="auto"/>
            <w:right w:val="none" w:sz="0" w:space="0" w:color="auto"/>
          </w:divBdr>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23748488">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35117248">
      <w:bodyDiv w:val="1"/>
      <w:marLeft w:val="0"/>
      <w:marRight w:val="0"/>
      <w:marTop w:val="0"/>
      <w:marBottom w:val="0"/>
      <w:divBdr>
        <w:top w:val="none" w:sz="0" w:space="0" w:color="auto"/>
        <w:left w:val="none" w:sz="0" w:space="0" w:color="auto"/>
        <w:bottom w:val="none" w:sz="0" w:space="0" w:color="auto"/>
        <w:right w:val="none" w:sz="0" w:space="0" w:color="auto"/>
      </w:divBdr>
      <w:divsChild>
        <w:div w:id="1756394676">
          <w:marLeft w:val="0"/>
          <w:marRight w:val="0"/>
          <w:marTop w:val="0"/>
          <w:marBottom w:val="0"/>
          <w:divBdr>
            <w:top w:val="none" w:sz="0" w:space="0" w:color="auto"/>
            <w:left w:val="none" w:sz="0" w:space="0" w:color="auto"/>
            <w:bottom w:val="none" w:sz="0" w:space="0" w:color="auto"/>
            <w:right w:val="none" w:sz="0" w:space="0" w:color="auto"/>
          </w:divBdr>
          <w:divsChild>
            <w:div w:id="829102385">
              <w:marLeft w:val="0"/>
              <w:marRight w:val="0"/>
              <w:marTop w:val="0"/>
              <w:marBottom w:val="0"/>
              <w:divBdr>
                <w:top w:val="none" w:sz="0" w:space="0" w:color="auto"/>
                <w:left w:val="none" w:sz="0" w:space="0" w:color="auto"/>
                <w:bottom w:val="none" w:sz="0" w:space="0" w:color="auto"/>
                <w:right w:val="none" w:sz="0" w:space="0" w:color="auto"/>
              </w:divBdr>
            </w:div>
            <w:div w:id="2032104257">
              <w:marLeft w:val="0"/>
              <w:marRight w:val="0"/>
              <w:marTop w:val="0"/>
              <w:marBottom w:val="0"/>
              <w:divBdr>
                <w:top w:val="none" w:sz="0" w:space="0" w:color="auto"/>
                <w:left w:val="none" w:sz="0" w:space="0" w:color="auto"/>
                <w:bottom w:val="none" w:sz="0" w:space="0" w:color="auto"/>
                <w:right w:val="none" w:sz="0" w:space="0" w:color="auto"/>
              </w:divBdr>
            </w:div>
            <w:div w:id="727142724">
              <w:marLeft w:val="0"/>
              <w:marRight w:val="0"/>
              <w:marTop w:val="0"/>
              <w:marBottom w:val="0"/>
              <w:divBdr>
                <w:top w:val="none" w:sz="0" w:space="0" w:color="auto"/>
                <w:left w:val="none" w:sz="0" w:space="0" w:color="auto"/>
                <w:bottom w:val="none" w:sz="0" w:space="0" w:color="auto"/>
                <w:right w:val="none" w:sz="0" w:space="0" w:color="auto"/>
              </w:divBdr>
            </w:div>
            <w:div w:id="1274440804">
              <w:marLeft w:val="0"/>
              <w:marRight w:val="0"/>
              <w:marTop w:val="0"/>
              <w:marBottom w:val="0"/>
              <w:divBdr>
                <w:top w:val="none" w:sz="0" w:space="0" w:color="auto"/>
                <w:left w:val="none" w:sz="0" w:space="0" w:color="auto"/>
                <w:bottom w:val="none" w:sz="0" w:space="0" w:color="auto"/>
                <w:right w:val="none" w:sz="0" w:space="0" w:color="auto"/>
              </w:divBdr>
            </w:div>
            <w:div w:id="1486119830">
              <w:marLeft w:val="0"/>
              <w:marRight w:val="0"/>
              <w:marTop w:val="0"/>
              <w:marBottom w:val="0"/>
              <w:divBdr>
                <w:top w:val="none" w:sz="0" w:space="0" w:color="auto"/>
                <w:left w:val="none" w:sz="0" w:space="0" w:color="auto"/>
                <w:bottom w:val="none" w:sz="0" w:space="0" w:color="auto"/>
                <w:right w:val="none" w:sz="0" w:space="0" w:color="auto"/>
              </w:divBdr>
            </w:div>
            <w:div w:id="290094642">
              <w:marLeft w:val="0"/>
              <w:marRight w:val="0"/>
              <w:marTop w:val="0"/>
              <w:marBottom w:val="0"/>
              <w:divBdr>
                <w:top w:val="none" w:sz="0" w:space="0" w:color="auto"/>
                <w:left w:val="none" w:sz="0" w:space="0" w:color="auto"/>
                <w:bottom w:val="none" w:sz="0" w:space="0" w:color="auto"/>
                <w:right w:val="none" w:sz="0" w:space="0" w:color="auto"/>
              </w:divBdr>
            </w:div>
          </w:divsChild>
        </w:div>
        <w:div w:id="1999645573">
          <w:marLeft w:val="0"/>
          <w:marRight w:val="0"/>
          <w:marTop w:val="0"/>
          <w:marBottom w:val="0"/>
          <w:divBdr>
            <w:top w:val="none" w:sz="0" w:space="0" w:color="auto"/>
            <w:left w:val="none" w:sz="0" w:space="0" w:color="auto"/>
            <w:bottom w:val="none" w:sz="0" w:space="0" w:color="auto"/>
            <w:right w:val="none" w:sz="0" w:space="0" w:color="auto"/>
          </w:divBdr>
          <w:divsChild>
            <w:div w:id="1405378612">
              <w:marLeft w:val="0"/>
              <w:marRight w:val="0"/>
              <w:marTop w:val="0"/>
              <w:marBottom w:val="0"/>
              <w:divBdr>
                <w:top w:val="none" w:sz="0" w:space="0" w:color="auto"/>
                <w:left w:val="none" w:sz="0" w:space="0" w:color="auto"/>
                <w:bottom w:val="none" w:sz="0" w:space="0" w:color="auto"/>
                <w:right w:val="none" w:sz="0" w:space="0" w:color="auto"/>
              </w:divBdr>
            </w:div>
            <w:div w:id="1217886751">
              <w:marLeft w:val="0"/>
              <w:marRight w:val="0"/>
              <w:marTop w:val="0"/>
              <w:marBottom w:val="0"/>
              <w:divBdr>
                <w:top w:val="none" w:sz="0" w:space="0" w:color="auto"/>
                <w:left w:val="none" w:sz="0" w:space="0" w:color="auto"/>
                <w:bottom w:val="none" w:sz="0" w:space="0" w:color="auto"/>
                <w:right w:val="none" w:sz="0" w:space="0" w:color="auto"/>
              </w:divBdr>
            </w:div>
            <w:div w:id="637691237">
              <w:marLeft w:val="0"/>
              <w:marRight w:val="0"/>
              <w:marTop w:val="0"/>
              <w:marBottom w:val="0"/>
              <w:divBdr>
                <w:top w:val="none" w:sz="0" w:space="0" w:color="auto"/>
                <w:left w:val="none" w:sz="0" w:space="0" w:color="auto"/>
                <w:bottom w:val="none" w:sz="0" w:space="0" w:color="auto"/>
                <w:right w:val="none" w:sz="0" w:space="0" w:color="auto"/>
              </w:divBdr>
            </w:div>
            <w:div w:id="1778863547">
              <w:marLeft w:val="0"/>
              <w:marRight w:val="0"/>
              <w:marTop w:val="0"/>
              <w:marBottom w:val="0"/>
              <w:divBdr>
                <w:top w:val="none" w:sz="0" w:space="0" w:color="auto"/>
                <w:left w:val="none" w:sz="0" w:space="0" w:color="auto"/>
                <w:bottom w:val="none" w:sz="0" w:space="0" w:color="auto"/>
                <w:right w:val="none" w:sz="0" w:space="0" w:color="auto"/>
              </w:divBdr>
            </w:div>
            <w:div w:id="364135358">
              <w:marLeft w:val="0"/>
              <w:marRight w:val="0"/>
              <w:marTop w:val="0"/>
              <w:marBottom w:val="0"/>
              <w:divBdr>
                <w:top w:val="none" w:sz="0" w:space="0" w:color="auto"/>
                <w:left w:val="none" w:sz="0" w:space="0" w:color="auto"/>
                <w:bottom w:val="none" w:sz="0" w:space="0" w:color="auto"/>
                <w:right w:val="none" w:sz="0" w:space="0" w:color="auto"/>
              </w:divBdr>
            </w:div>
            <w:div w:id="1819105800">
              <w:marLeft w:val="0"/>
              <w:marRight w:val="0"/>
              <w:marTop w:val="0"/>
              <w:marBottom w:val="0"/>
              <w:divBdr>
                <w:top w:val="none" w:sz="0" w:space="0" w:color="auto"/>
                <w:left w:val="none" w:sz="0" w:space="0" w:color="auto"/>
                <w:bottom w:val="none" w:sz="0" w:space="0" w:color="auto"/>
                <w:right w:val="none" w:sz="0" w:space="0" w:color="auto"/>
              </w:divBdr>
            </w:div>
            <w:div w:id="32212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98782">
      <w:bodyDiv w:val="1"/>
      <w:marLeft w:val="0"/>
      <w:marRight w:val="0"/>
      <w:marTop w:val="0"/>
      <w:marBottom w:val="0"/>
      <w:divBdr>
        <w:top w:val="none" w:sz="0" w:space="0" w:color="auto"/>
        <w:left w:val="none" w:sz="0" w:space="0" w:color="auto"/>
        <w:bottom w:val="none" w:sz="0" w:space="0" w:color="auto"/>
        <w:right w:val="none" w:sz="0" w:space="0" w:color="auto"/>
      </w:divBdr>
      <w:divsChild>
        <w:div w:id="1551646778">
          <w:marLeft w:val="0"/>
          <w:marRight w:val="75"/>
          <w:marTop w:val="0"/>
          <w:marBottom w:val="0"/>
          <w:divBdr>
            <w:top w:val="none" w:sz="0" w:space="0" w:color="auto"/>
            <w:left w:val="none" w:sz="0" w:space="0" w:color="auto"/>
            <w:bottom w:val="none" w:sz="0" w:space="0" w:color="auto"/>
            <w:right w:val="none" w:sz="0" w:space="0" w:color="auto"/>
          </w:divBdr>
        </w:div>
        <w:div w:id="1421607186">
          <w:marLeft w:val="0"/>
          <w:marRight w:val="0"/>
          <w:marTop w:val="0"/>
          <w:marBottom w:val="0"/>
          <w:divBdr>
            <w:top w:val="none" w:sz="0" w:space="0" w:color="auto"/>
            <w:left w:val="none" w:sz="0" w:space="0" w:color="auto"/>
            <w:bottom w:val="none" w:sz="0" w:space="0" w:color="auto"/>
            <w:right w:val="none" w:sz="0" w:space="0" w:color="auto"/>
          </w:divBdr>
          <w:divsChild>
            <w:div w:id="14728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385494432">
      <w:bodyDiv w:val="1"/>
      <w:marLeft w:val="0"/>
      <w:marRight w:val="0"/>
      <w:marTop w:val="0"/>
      <w:marBottom w:val="0"/>
      <w:divBdr>
        <w:top w:val="none" w:sz="0" w:space="0" w:color="auto"/>
        <w:left w:val="none" w:sz="0" w:space="0" w:color="auto"/>
        <w:bottom w:val="none" w:sz="0" w:space="0" w:color="auto"/>
        <w:right w:val="none" w:sz="0" w:space="0" w:color="auto"/>
      </w:divBdr>
      <w:divsChild>
        <w:div w:id="557278325">
          <w:marLeft w:val="0"/>
          <w:marRight w:val="0"/>
          <w:marTop w:val="0"/>
          <w:marBottom w:val="0"/>
          <w:divBdr>
            <w:top w:val="none" w:sz="0" w:space="0" w:color="auto"/>
            <w:left w:val="none" w:sz="0" w:space="0" w:color="auto"/>
            <w:bottom w:val="none" w:sz="0" w:space="0" w:color="auto"/>
            <w:right w:val="none" w:sz="0" w:space="0" w:color="auto"/>
          </w:divBdr>
        </w:div>
        <w:div w:id="10836211">
          <w:marLeft w:val="0"/>
          <w:marRight w:val="0"/>
          <w:marTop w:val="0"/>
          <w:marBottom w:val="0"/>
          <w:divBdr>
            <w:top w:val="none" w:sz="0" w:space="0" w:color="auto"/>
            <w:left w:val="none" w:sz="0" w:space="0" w:color="auto"/>
            <w:bottom w:val="none" w:sz="0" w:space="0" w:color="auto"/>
            <w:right w:val="none" w:sz="0" w:space="0" w:color="auto"/>
          </w:divBdr>
        </w:div>
      </w:divsChild>
    </w:div>
    <w:div w:id="431780480">
      <w:bodyDiv w:val="1"/>
      <w:marLeft w:val="0"/>
      <w:marRight w:val="0"/>
      <w:marTop w:val="0"/>
      <w:marBottom w:val="0"/>
      <w:divBdr>
        <w:top w:val="none" w:sz="0" w:space="0" w:color="auto"/>
        <w:left w:val="none" w:sz="0" w:space="0" w:color="auto"/>
        <w:bottom w:val="none" w:sz="0" w:space="0" w:color="auto"/>
        <w:right w:val="none" w:sz="0" w:space="0" w:color="auto"/>
      </w:divBdr>
      <w:divsChild>
        <w:div w:id="49767800">
          <w:marLeft w:val="0"/>
          <w:marRight w:val="0"/>
          <w:marTop w:val="0"/>
          <w:marBottom w:val="0"/>
          <w:divBdr>
            <w:top w:val="none" w:sz="0" w:space="0" w:color="auto"/>
            <w:left w:val="none" w:sz="0" w:space="0" w:color="auto"/>
            <w:bottom w:val="none" w:sz="0" w:space="0" w:color="auto"/>
            <w:right w:val="none" w:sz="0" w:space="0" w:color="auto"/>
          </w:divBdr>
        </w:div>
        <w:div w:id="1681856087">
          <w:marLeft w:val="0"/>
          <w:marRight w:val="0"/>
          <w:marTop w:val="0"/>
          <w:marBottom w:val="0"/>
          <w:divBdr>
            <w:top w:val="none" w:sz="0" w:space="0" w:color="auto"/>
            <w:left w:val="none" w:sz="0" w:space="0" w:color="auto"/>
            <w:bottom w:val="none" w:sz="0" w:space="0" w:color="auto"/>
            <w:right w:val="none" w:sz="0" w:space="0" w:color="auto"/>
          </w:divBdr>
        </w:div>
      </w:divsChild>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650597316">
      <w:bodyDiv w:val="1"/>
      <w:marLeft w:val="0"/>
      <w:marRight w:val="0"/>
      <w:marTop w:val="0"/>
      <w:marBottom w:val="0"/>
      <w:divBdr>
        <w:top w:val="none" w:sz="0" w:space="0" w:color="auto"/>
        <w:left w:val="none" w:sz="0" w:space="0" w:color="auto"/>
        <w:bottom w:val="none" w:sz="0" w:space="0" w:color="auto"/>
        <w:right w:val="none" w:sz="0" w:space="0" w:color="auto"/>
      </w:divBdr>
      <w:divsChild>
        <w:div w:id="357656075">
          <w:marLeft w:val="0"/>
          <w:marRight w:val="0"/>
          <w:marTop w:val="0"/>
          <w:marBottom w:val="0"/>
          <w:divBdr>
            <w:top w:val="none" w:sz="0" w:space="0" w:color="auto"/>
            <w:left w:val="none" w:sz="0" w:space="0" w:color="auto"/>
            <w:bottom w:val="none" w:sz="0" w:space="0" w:color="auto"/>
            <w:right w:val="none" w:sz="0" w:space="0" w:color="auto"/>
          </w:divBdr>
        </w:div>
        <w:div w:id="1624772547">
          <w:marLeft w:val="0"/>
          <w:marRight w:val="0"/>
          <w:marTop w:val="0"/>
          <w:marBottom w:val="0"/>
          <w:divBdr>
            <w:top w:val="none" w:sz="0" w:space="0" w:color="auto"/>
            <w:left w:val="none" w:sz="0" w:space="0" w:color="auto"/>
            <w:bottom w:val="none" w:sz="0" w:space="0" w:color="auto"/>
            <w:right w:val="none" w:sz="0" w:space="0" w:color="auto"/>
          </w:divBdr>
        </w:div>
      </w:divsChild>
    </w:div>
    <w:div w:id="657730866">
      <w:bodyDiv w:val="1"/>
      <w:marLeft w:val="0"/>
      <w:marRight w:val="0"/>
      <w:marTop w:val="0"/>
      <w:marBottom w:val="0"/>
      <w:divBdr>
        <w:top w:val="none" w:sz="0" w:space="0" w:color="auto"/>
        <w:left w:val="none" w:sz="0" w:space="0" w:color="auto"/>
        <w:bottom w:val="none" w:sz="0" w:space="0" w:color="auto"/>
        <w:right w:val="none" w:sz="0" w:space="0" w:color="auto"/>
      </w:divBdr>
      <w:divsChild>
        <w:div w:id="1329946045">
          <w:marLeft w:val="0"/>
          <w:marRight w:val="0"/>
          <w:marTop w:val="0"/>
          <w:marBottom w:val="0"/>
          <w:divBdr>
            <w:top w:val="none" w:sz="0" w:space="0" w:color="auto"/>
            <w:left w:val="none" w:sz="0" w:space="0" w:color="auto"/>
            <w:bottom w:val="none" w:sz="0" w:space="0" w:color="auto"/>
            <w:right w:val="none" w:sz="0" w:space="0" w:color="auto"/>
          </w:divBdr>
          <w:divsChild>
            <w:div w:id="989990173">
              <w:marLeft w:val="0"/>
              <w:marRight w:val="0"/>
              <w:marTop w:val="0"/>
              <w:marBottom w:val="0"/>
              <w:divBdr>
                <w:top w:val="none" w:sz="0" w:space="0" w:color="auto"/>
                <w:left w:val="none" w:sz="0" w:space="0" w:color="auto"/>
                <w:bottom w:val="none" w:sz="0" w:space="0" w:color="auto"/>
                <w:right w:val="none" w:sz="0" w:space="0" w:color="auto"/>
              </w:divBdr>
            </w:div>
            <w:div w:id="253827992">
              <w:marLeft w:val="0"/>
              <w:marRight w:val="0"/>
              <w:marTop w:val="0"/>
              <w:marBottom w:val="0"/>
              <w:divBdr>
                <w:top w:val="none" w:sz="0" w:space="0" w:color="auto"/>
                <w:left w:val="none" w:sz="0" w:space="0" w:color="auto"/>
                <w:bottom w:val="none" w:sz="0" w:space="0" w:color="auto"/>
                <w:right w:val="none" w:sz="0" w:space="0" w:color="auto"/>
              </w:divBdr>
            </w:div>
            <w:div w:id="571627408">
              <w:marLeft w:val="0"/>
              <w:marRight w:val="0"/>
              <w:marTop w:val="0"/>
              <w:marBottom w:val="0"/>
              <w:divBdr>
                <w:top w:val="none" w:sz="0" w:space="0" w:color="auto"/>
                <w:left w:val="none" w:sz="0" w:space="0" w:color="auto"/>
                <w:bottom w:val="none" w:sz="0" w:space="0" w:color="auto"/>
                <w:right w:val="none" w:sz="0" w:space="0" w:color="auto"/>
              </w:divBdr>
            </w:div>
            <w:div w:id="1602957159">
              <w:marLeft w:val="0"/>
              <w:marRight w:val="0"/>
              <w:marTop w:val="0"/>
              <w:marBottom w:val="0"/>
              <w:divBdr>
                <w:top w:val="none" w:sz="0" w:space="0" w:color="auto"/>
                <w:left w:val="none" w:sz="0" w:space="0" w:color="auto"/>
                <w:bottom w:val="none" w:sz="0" w:space="0" w:color="auto"/>
                <w:right w:val="none" w:sz="0" w:space="0" w:color="auto"/>
              </w:divBdr>
            </w:div>
            <w:div w:id="190847615">
              <w:marLeft w:val="0"/>
              <w:marRight w:val="0"/>
              <w:marTop w:val="0"/>
              <w:marBottom w:val="0"/>
              <w:divBdr>
                <w:top w:val="none" w:sz="0" w:space="0" w:color="auto"/>
                <w:left w:val="none" w:sz="0" w:space="0" w:color="auto"/>
                <w:bottom w:val="none" w:sz="0" w:space="0" w:color="auto"/>
                <w:right w:val="none" w:sz="0" w:space="0" w:color="auto"/>
              </w:divBdr>
            </w:div>
            <w:div w:id="254287562">
              <w:marLeft w:val="0"/>
              <w:marRight w:val="0"/>
              <w:marTop w:val="0"/>
              <w:marBottom w:val="0"/>
              <w:divBdr>
                <w:top w:val="none" w:sz="0" w:space="0" w:color="auto"/>
                <w:left w:val="none" w:sz="0" w:space="0" w:color="auto"/>
                <w:bottom w:val="none" w:sz="0" w:space="0" w:color="auto"/>
                <w:right w:val="none" w:sz="0" w:space="0" w:color="auto"/>
              </w:divBdr>
            </w:div>
          </w:divsChild>
        </w:div>
        <w:div w:id="500583634">
          <w:marLeft w:val="0"/>
          <w:marRight w:val="0"/>
          <w:marTop w:val="0"/>
          <w:marBottom w:val="0"/>
          <w:divBdr>
            <w:top w:val="none" w:sz="0" w:space="0" w:color="auto"/>
            <w:left w:val="none" w:sz="0" w:space="0" w:color="auto"/>
            <w:bottom w:val="none" w:sz="0" w:space="0" w:color="auto"/>
            <w:right w:val="none" w:sz="0" w:space="0" w:color="auto"/>
          </w:divBdr>
          <w:divsChild>
            <w:div w:id="991253918">
              <w:marLeft w:val="0"/>
              <w:marRight w:val="0"/>
              <w:marTop w:val="0"/>
              <w:marBottom w:val="0"/>
              <w:divBdr>
                <w:top w:val="none" w:sz="0" w:space="0" w:color="auto"/>
                <w:left w:val="none" w:sz="0" w:space="0" w:color="auto"/>
                <w:bottom w:val="none" w:sz="0" w:space="0" w:color="auto"/>
                <w:right w:val="none" w:sz="0" w:space="0" w:color="auto"/>
              </w:divBdr>
            </w:div>
            <w:div w:id="1028222284">
              <w:marLeft w:val="0"/>
              <w:marRight w:val="0"/>
              <w:marTop w:val="0"/>
              <w:marBottom w:val="0"/>
              <w:divBdr>
                <w:top w:val="none" w:sz="0" w:space="0" w:color="auto"/>
                <w:left w:val="none" w:sz="0" w:space="0" w:color="auto"/>
                <w:bottom w:val="none" w:sz="0" w:space="0" w:color="auto"/>
                <w:right w:val="none" w:sz="0" w:space="0" w:color="auto"/>
              </w:divBdr>
            </w:div>
            <w:div w:id="529803194">
              <w:marLeft w:val="0"/>
              <w:marRight w:val="0"/>
              <w:marTop w:val="0"/>
              <w:marBottom w:val="0"/>
              <w:divBdr>
                <w:top w:val="none" w:sz="0" w:space="0" w:color="auto"/>
                <w:left w:val="none" w:sz="0" w:space="0" w:color="auto"/>
                <w:bottom w:val="none" w:sz="0" w:space="0" w:color="auto"/>
                <w:right w:val="none" w:sz="0" w:space="0" w:color="auto"/>
              </w:divBdr>
            </w:div>
            <w:div w:id="801655287">
              <w:marLeft w:val="0"/>
              <w:marRight w:val="0"/>
              <w:marTop w:val="0"/>
              <w:marBottom w:val="0"/>
              <w:divBdr>
                <w:top w:val="none" w:sz="0" w:space="0" w:color="auto"/>
                <w:left w:val="none" w:sz="0" w:space="0" w:color="auto"/>
                <w:bottom w:val="none" w:sz="0" w:space="0" w:color="auto"/>
                <w:right w:val="none" w:sz="0" w:space="0" w:color="auto"/>
              </w:divBdr>
            </w:div>
            <w:div w:id="817650598">
              <w:marLeft w:val="0"/>
              <w:marRight w:val="0"/>
              <w:marTop w:val="0"/>
              <w:marBottom w:val="0"/>
              <w:divBdr>
                <w:top w:val="none" w:sz="0" w:space="0" w:color="auto"/>
                <w:left w:val="none" w:sz="0" w:space="0" w:color="auto"/>
                <w:bottom w:val="none" w:sz="0" w:space="0" w:color="auto"/>
                <w:right w:val="none" w:sz="0" w:space="0" w:color="auto"/>
              </w:divBdr>
            </w:div>
            <w:div w:id="144245884">
              <w:marLeft w:val="0"/>
              <w:marRight w:val="0"/>
              <w:marTop w:val="0"/>
              <w:marBottom w:val="0"/>
              <w:divBdr>
                <w:top w:val="none" w:sz="0" w:space="0" w:color="auto"/>
                <w:left w:val="none" w:sz="0" w:space="0" w:color="auto"/>
                <w:bottom w:val="none" w:sz="0" w:space="0" w:color="auto"/>
                <w:right w:val="none" w:sz="0" w:space="0" w:color="auto"/>
              </w:divBdr>
            </w:div>
            <w:div w:id="3112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7334">
      <w:bodyDiv w:val="1"/>
      <w:marLeft w:val="0"/>
      <w:marRight w:val="0"/>
      <w:marTop w:val="0"/>
      <w:marBottom w:val="0"/>
      <w:divBdr>
        <w:top w:val="none" w:sz="0" w:space="0" w:color="auto"/>
        <w:left w:val="none" w:sz="0" w:space="0" w:color="auto"/>
        <w:bottom w:val="none" w:sz="0" w:space="0" w:color="auto"/>
        <w:right w:val="none" w:sz="0" w:space="0" w:color="auto"/>
      </w:divBdr>
      <w:divsChild>
        <w:div w:id="23555949">
          <w:marLeft w:val="0"/>
          <w:marRight w:val="0"/>
          <w:marTop w:val="0"/>
          <w:marBottom w:val="0"/>
          <w:divBdr>
            <w:top w:val="none" w:sz="0" w:space="0" w:color="auto"/>
            <w:left w:val="none" w:sz="0" w:space="0" w:color="auto"/>
            <w:bottom w:val="none" w:sz="0" w:space="0" w:color="auto"/>
            <w:right w:val="none" w:sz="0" w:space="0" w:color="auto"/>
          </w:divBdr>
        </w:div>
        <w:div w:id="1484277302">
          <w:marLeft w:val="0"/>
          <w:marRight w:val="0"/>
          <w:marTop w:val="0"/>
          <w:marBottom w:val="0"/>
          <w:divBdr>
            <w:top w:val="none" w:sz="0" w:space="0" w:color="auto"/>
            <w:left w:val="none" w:sz="0" w:space="0" w:color="auto"/>
            <w:bottom w:val="none" w:sz="0" w:space="0" w:color="auto"/>
            <w:right w:val="none" w:sz="0" w:space="0" w:color="auto"/>
          </w:divBdr>
        </w:div>
      </w:divsChild>
    </w:div>
    <w:div w:id="790317265">
      <w:bodyDiv w:val="1"/>
      <w:marLeft w:val="0"/>
      <w:marRight w:val="0"/>
      <w:marTop w:val="0"/>
      <w:marBottom w:val="0"/>
      <w:divBdr>
        <w:top w:val="none" w:sz="0" w:space="0" w:color="auto"/>
        <w:left w:val="none" w:sz="0" w:space="0" w:color="auto"/>
        <w:bottom w:val="none" w:sz="0" w:space="0" w:color="auto"/>
        <w:right w:val="none" w:sz="0" w:space="0" w:color="auto"/>
      </w:divBdr>
      <w:divsChild>
        <w:div w:id="695738166">
          <w:marLeft w:val="0"/>
          <w:marRight w:val="0"/>
          <w:marTop w:val="0"/>
          <w:marBottom w:val="0"/>
          <w:divBdr>
            <w:top w:val="none" w:sz="0" w:space="0" w:color="auto"/>
            <w:left w:val="none" w:sz="0" w:space="0" w:color="auto"/>
            <w:bottom w:val="none" w:sz="0" w:space="0" w:color="auto"/>
            <w:right w:val="none" w:sz="0" w:space="0" w:color="auto"/>
          </w:divBdr>
        </w:div>
        <w:div w:id="1958364095">
          <w:marLeft w:val="0"/>
          <w:marRight w:val="0"/>
          <w:marTop w:val="0"/>
          <w:marBottom w:val="0"/>
          <w:divBdr>
            <w:top w:val="none" w:sz="0" w:space="0" w:color="auto"/>
            <w:left w:val="none" w:sz="0" w:space="0" w:color="auto"/>
            <w:bottom w:val="none" w:sz="0" w:space="0" w:color="auto"/>
            <w:right w:val="none" w:sz="0" w:space="0" w:color="auto"/>
          </w:divBdr>
        </w:div>
        <w:div w:id="313416862">
          <w:marLeft w:val="0"/>
          <w:marRight w:val="0"/>
          <w:marTop w:val="0"/>
          <w:marBottom w:val="0"/>
          <w:divBdr>
            <w:top w:val="none" w:sz="0" w:space="0" w:color="auto"/>
            <w:left w:val="none" w:sz="0" w:space="0" w:color="auto"/>
            <w:bottom w:val="none" w:sz="0" w:space="0" w:color="auto"/>
            <w:right w:val="none" w:sz="0" w:space="0" w:color="auto"/>
          </w:divBdr>
        </w:div>
      </w:divsChild>
    </w:div>
    <w:div w:id="848716887">
      <w:bodyDiv w:val="1"/>
      <w:marLeft w:val="0"/>
      <w:marRight w:val="0"/>
      <w:marTop w:val="0"/>
      <w:marBottom w:val="0"/>
      <w:divBdr>
        <w:top w:val="none" w:sz="0" w:space="0" w:color="auto"/>
        <w:left w:val="none" w:sz="0" w:space="0" w:color="auto"/>
        <w:bottom w:val="none" w:sz="0" w:space="0" w:color="auto"/>
        <w:right w:val="none" w:sz="0" w:space="0" w:color="auto"/>
      </w:divBdr>
      <w:divsChild>
        <w:div w:id="1421877754">
          <w:marLeft w:val="0"/>
          <w:marRight w:val="0"/>
          <w:marTop w:val="0"/>
          <w:marBottom w:val="0"/>
          <w:divBdr>
            <w:top w:val="none" w:sz="0" w:space="0" w:color="auto"/>
            <w:left w:val="none" w:sz="0" w:space="0" w:color="auto"/>
            <w:bottom w:val="none" w:sz="0" w:space="0" w:color="auto"/>
            <w:right w:val="none" w:sz="0" w:space="0" w:color="auto"/>
          </w:divBdr>
        </w:div>
        <w:div w:id="2053192996">
          <w:marLeft w:val="0"/>
          <w:marRight w:val="0"/>
          <w:marTop w:val="0"/>
          <w:marBottom w:val="0"/>
          <w:divBdr>
            <w:top w:val="none" w:sz="0" w:space="0" w:color="auto"/>
            <w:left w:val="none" w:sz="0" w:space="0" w:color="auto"/>
            <w:bottom w:val="none" w:sz="0" w:space="0" w:color="auto"/>
            <w:right w:val="none" w:sz="0" w:space="0" w:color="auto"/>
          </w:divBdr>
        </w:div>
      </w:divsChild>
    </w:div>
    <w:div w:id="859008330">
      <w:bodyDiv w:val="1"/>
      <w:marLeft w:val="0"/>
      <w:marRight w:val="0"/>
      <w:marTop w:val="0"/>
      <w:marBottom w:val="0"/>
      <w:divBdr>
        <w:top w:val="none" w:sz="0" w:space="0" w:color="auto"/>
        <w:left w:val="none" w:sz="0" w:space="0" w:color="auto"/>
        <w:bottom w:val="none" w:sz="0" w:space="0" w:color="auto"/>
        <w:right w:val="none" w:sz="0" w:space="0" w:color="auto"/>
      </w:divBdr>
      <w:divsChild>
        <w:div w:id="312028118">
          <w:marLeft w:val="0"/>
          <w:marRight w:val="0"/>
          <w:marTop w:val="0"/>
          <w:marBottom w:val="0"/>
          <w:divBdr>
            <w:top w:val="none" w:sz="0" w:space="0" w:color="auto"/>
            <w:left w:val="none" w:sz="0" w:space="0" w:color="auto"/>
            <w:bottom w:val="none" w:sz="0" w:space="0" w:color="auto"/>
            <w:right w:val="none" w:sz="0" w:space="0" w:color="auto"/>
          </w:divBdr>
        </w:div>
        <w:div w:id="1452242740">
          <w:marLeft w:val="0"/>
          <w:marRight w:val="0"/>
          <w:marTop w:val="0"/>
          <w:marBottom w:val="0"/>
          <w:divBdr>
            <w:top w:val="none" w:sz="0" w:space="0" w:color="auto"/>
            <w:left w:val="none" w:sz="0" w:space="0" w:color="auto"/>
            <w:bottom w:val="none" w:sz="0" w:space="0" w:color="auto"/>
            <w:right w:val="none" w:sz="0" w:space="0" w:color="auto"/>
          </w:divBdr>
        </w:div>
      </w:divsChild>
    </w:div>
    <w:div w:id="944506655">
      <w:bodyDiv w:val="1"/>
      <w:marLeft w:val="0"/>
      <w:marRight w:val="0"/>
      <w:marTop w:val="0"/>
      <w:marBottom w:val="0"/>
      <w:divBdr>
        <w:top w:val="none" w:sz="0" w:space="0" w:color="auto"/>
        <w:left w:val="none" w:sz="0" w:space="0" w:color="auto"/>
        <w:bottom w:val="none" w:sz="0" w:space="0" w:color="auto"/>
        <w:right w:val="none" w:sz="0" w:space="0" w:color="auto"/>
      </w:divBdr>
      <w:divsChild>
        <w:div w:id="678888713">
          <w:marLeft w:val="0"/>
          <w:marRight w:val="0"/>
          <w:marTop w:val="0"/>
          <w:marBottom w:val="0"/>
          <w:divBdr>
            <w:top w:val="none" w:sz="0" w:space="0" w:color="auto"/>
            <w:left w:val="none" w:sz="0" w:space="0" w:color="auto"/>
            <w:bottom w:val="none" w:sz="0" w:space="0" w:color="auto"/>
            <w:right w:val="none" w:sz="0" w:space="0" w:color="auto"/>
          </w:divBdr>
        </w:div>
        <w:div w:id="578905083">
          <w:marLeft w:val="0"/>
          <w:marRight w:val="0"/>
          <w:marTop w:val="0"/>
          <w:marBottom w:val="0"/>
          <w:divBdr>
            <w:top w:val="none" w:sz="0" w:space="0" w:color="auto"/>
            <w:left w:val="none" w:sz="0" w:space="0" w:color="auto"/>
            <w:bottom w:val="none" w:sz="0" w:space="0" w:color="auto"/>
            <w:right w:val="none" w:sz="0" w:space="0" w:color="auto"/>
          </w:divBdr>
        </w:div>
      </w:divsChild>
    </w:div>
    <w:div w:id="965085457">
      <w:bodyDiv w:val="1"/>
      <w:marLeft w:val="0"/>
      <w:marRight w:val="0"/>
      <w:marTop w:val="0"/>
      <w:marBottom w:val="0"/>
      <w:divBdr>
        <w:top w:val="none" w:sz="0" w:space="0" w:color="auto"/>
        <w:left w:val="none" w:sz="0" w:space="0" w:color="auto"/>
        <w:bottom w:val="none" w:sz="0" w:space="0" w:color="auto"/>
        <w:right w:val="none" w:sz="0" w:space="0" w:color="auto"/>
      </w:divBdr>
      <w:divsChild>
        <w:div w:id="463079644">
          <w:marLeft w:val="0"/>
          <w:marRight w:val="0"/>
          <w:marTop w:val="0"/>
          <w:marBottom w:val="0"/>
          <w:divBdr>
            <w:top w:val="none" w:sz="0" w:space="0" w:color="auto"/>
            <w:left w:val="none" w:sz="0" w:space="0" w:color="auto"/>
            <w:bottom w:val="none" w:sz="0" w:space="0" w:color="auto"/>
            <w:right w:val="none" w:sz="0" w:space="0" w:color="auto"/>
          </w:divBdr>
        </w:div>
        <w:div w:id="1691443769">
          <w:marLeft w:val="0"/>
          <w:marRight w:val="0"/>
          <w:marTop w:val="0"/>
          <w:marBottom w:val="0"/>
          <w:divBdr>
            <w:top w:val="none" w:sz="0" w:space="0" w:color="auto"/>
            <w:left w:val="none" w:sz="0" w:space="0" w:color="auto"/>
            <w:bottom w:val="none" w:sz="0" w:space="0" w:color="auto"/>
            <w:right w:val="none" w:sz="0" w:space="0" w:color="auto"/>
          </w:divBdr>
        </w:div>
      </w:divsChild>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215658015">
      <w:bodyDiv w:val="1"/>
      <w:marLeft w:val="0"/>
      <w:marRight w:val="0"/>
      <w:marTop w:val="0"/>
      <w:marBottom w:val="0"/>
      <w:divBdr>
        <w:top w:val="none" w:sz="0" w:space="0" w:color="auto"/>
        <w:left w:val="none" w:sz="0" w:space="0" w:color="auto"/>
        <w:bottom w:val="none" w:sz="0" w:space="0" w:color="auto"/>
        <w:right w:val="none" w:sz="0" w:space="0" w:color="auto"/>
      </w:divBdr>
      <w:divsChild>
        <w:div w:id="85656230">
          <w:marLeft w:val="0"/>
          <w:marRight w:val="0"/>
          <w:marTop w:val="0"/>
          <w:marBottom w:val="0"/>
          <w:divBdr>
            <w:top w:val="none" w:sz="0" w:space="0" w:color="auto"/>
            <w:left w:val="none" w:sz="0" w:space="0" w:color="auto"/>
            <w:bottom w:val="none" w:sz="0" w:space="0" w:color="auto"/>
            <w:right w:val="none" w:sz="0" w:space="0" w:color="auto"/>
          </w:divBdr>
        </w:div>
        <w:div w:id="681973243">
          <w:marLeft w:val="0"/>
          <w:marRight w:val="0"/>
          <w:marTop w:val="0"/>
          <w:marBottom w:val="0"/>
          <w:divBdr>
            <w:top w:val="none" w:sz="0" w:space="0" w:color="auto"/>
            <w:left w:val="none" w:sz="0" w:space="0" w:color="auto"/>
            <w:bottom w:val="none" w:sz="0" w:space="0" w:color="auto"/>
            <w:right w:val="none" w:sz="0" w:space="0" w:color="auto"/>
          </w:divBdr>
        </w:div>
      </w:divsChild>
    </w:div>
    <w:div w:id="1240750605">
      <w:bodyDiv w:val="1"/>
      <w:marLeft w:val="0"/>
      <w:marRight w:val="0"/>
      <w:marTop w:val="0"/>
      <w:marBottom w:val="0"/>
      <w:divBdr>
        <w:top w:val="none" w:sz="0" w:space="0" w:color="auto"/>
        <w:left w:val="none" w:sz="0" w:space="0" w:color="auto"/>
        <w:bottom w:val="none" w:sz="0" w:space="0" w:color="auto"/>
        <w:right w:val="none" w:sz="0" w:space="0" w:color="auto"/>
      </w:divBdr>
    </w:div>
    <w:div w:id="1289161694">
      <w:bodyDiv w:val="1"/>
      <w:marLeft w:val="0"/>
      <w:marRight w:val="0"/>
      <w:marTop w:val="0"/>
      <w:marBottom w:val="0"/>
      <w:divBdr>
        <w:top w:val="none" w:sz="0" w:space="0" w:color="auto"/>
        <w:left w:val="none" w:sz="0" w:space="0" w:color="auto"/>
        <w:bottom w:val="none" w:sz="0" w:space="0" w:color="auto"/>
        <w:right w:val="none" w:sz="0" w:space="0" w:color="auto"/>
      </w:divBdr>
      <w:divsChild>
        <w:div w:id="213782221">
          <w:marLeft w:val="0"/>
          <w:marRight w:val="0"/>
          <w:marTop w:val="0"/>
          <w:marBottom w:val="0"/>
          <w:divBdr>
            <w:top w:val="none" w:sz="0" w:space="0" w:color="auto"/>
            <w:left w:val="none" w:sz="0" w:space="0" w:color="auto"/>
            <w:bottom w:val="none" w:sz="0" w:space="0" w:color="auto"/>
            <w:right w:val="none" w:sz="0" w:space="0" w:color="auto"/>
          </w:divBdr>
        </w:div>
        <w:div w:id="1685210169">
          <w:marLeft w:val="0"/>
          <w:marRight w:val="0"/>
          <w:marTop w:val="0"/>
          <w:marBottom w:val="0"/>
          <w:divBdr>
            <w:top w:val="none" w:sz="0" w:space="0" w:color="auto"/>
            <w:left w:val="none" w:sz="0" w:space="0" w:color="auto"/>
            <w:bottom w:val="none" w:sz="0" w:space="0" w:color="auto"/>
            <w:right w:val="none" w:sz="0" w:space="0" w:color="auto"/>
          </w:divBdr>
        </w:div>
      </w:divsChild>
    </w:div>
    <w:div w:id="1464151866">
      <w:bodyDiv w:val="1"/>
      <w:marLeft w:val="0"/>
      <w:marRight w:val="0"/>
      <w:marTop w:val="0"/>
      <w:marBottom w:val="0"/>
      <w:divBdr>
        <w:top w:val="none" w:sz="0" w:space="0" w:color="auto"/>
        <w:left w:val="none" w:sz="0" w:space="0" w:color="auto"/>
        <w:bottom w:val="none" w:sz="0" w:space="0" w:color="auto"/>
        <w:right w:val="none" w:sz="0" w:space="0" w:color="auto"/>
      </w:divBdr>
      <w:divsChild>
        <w:div w:id="1424259906">
          <w:marLeft w:val="0"/>
          <w:marRight w:val="0"/>
          <w:marTop w:val="0"/>
          <w:marBottom w:val="0"/>
          <w:divBdr>
            <w:top w:val="none" w:sz="0" w:space="0" w:color="auto"/>
            <w:left w:val="none" w:sz="0" w:space="0" w:color="auto"/>
            <w:bottom w:val="none" w:sz="0" w:space="0" w:color="auto"/>
            <w:right w:val="none" w:sz="0" w:space="0" w:color="auto"/>
          </w:divBdr>
        </w:div>
        <w:div w:id="1249269785">
          <w:marLeft w:val="0"/>
          <w:marRight w:val="0"/>
          <w:marTop w:val="0"/>
          <w:marBottom w:val="0"/>
          <w:divBdr>
            <w:top w:val="none" w:sz="0" w:space="0" w:color="auto"/>
            <w:left w:val="none" w:sz="0" w:space="0" w:color="auto"/>
            <w:bottom w:val="none" w:sz="0" w:space="0" w:color="auto"/>
            <w:right w:val="none" w:sz="0" w:space="0" w:color="auto"/>
          </w:divBdr>
        </w:div>
        <w:div w:id="1606696983">
          <w:marLeft w:val="0"/>
          <w:marRight w:val="0"/>
          <w:marTop w:val="0"/>
          <w:marBottom w:val="0"/>
          <w:divBdr>
            <w:top w:val="none" w:sz="0" w:space="0" w:color="auto"/>
            <w:left w:val="none" w:sz="0" w:space="0" w:color="auto"/>
            <w:bottom w:val="none" w:sz="0" w:space="0" w:color="auto"/>
            <w:right w:val="none" w:sz="0" w:space="0" w:color="auto"/>
          </w:divBdr>
        </w:div>
      </w:divsChild>
    </w:div>
    <w:div w:id="1595211805">
      <w:bodyDiv w:val="1"/>
      <w:marLeft w:val="0"/>
      <w:marRight w:val="0"/>
      <w:marTop w:val="0"/>
      <w:marBottom w:val="0"/>
      <w:divBdr>
        <w:top w:val="none" w:sz="0" w:space="0" w:color="auto"/>
        <w:left w:val="none" w:sz="0" w:space="0" w:color="auto"/>
        <w:bottom w:val="none" w:sz="0" w:space="0" w:color="auto"/>
        <w:right w:val="none" w:sz="0" w:space="0" w:color="auto"/>
      </w:divBdr>
      <w:divsChild>
        <w:div w:id="1619796885">
          <w:marLeft w:val="0"/>
          <w:marRight w:val="0"/>
          <w:marTop w:val="0"/>
          <w:marBottom w:val="0"/>
          <w:divBdr>
            <w:top w:val="none" w:sz="0" w:space="0" w:color="auto"/>
            <w:left w:val="none" w:sz="0" w:space="0" w:color="auto"/>
            <w:bottom w:val="none" w:sz="0" w:space="0" w:color="auto"/>
            <w:right w:val="none" w:sz="0" w:space="0" w:color="auto"/>
          </w:divBdr>
        </w:div>
        <w:div w:id="602568278">
          <w:marLeft w:val="0"/>
          <w:marRight w:val="0"/>
          <w:marTop w:val="0"/>
          <w:marBottom w:val="0"/>
          <w:divBdr>
            <w:top w:val="none" w:sz="0" w:space="0" w:color="auto"/>
            <w:left w:val="none" w:sz="0" w:space="0" w:color="auto"/>
            <w:bottom w:val="none" w:sz="0" w:space="0" w:color="auto"/>
            <w:right w:val="none" w:sz="0" w:space="0" w:color="auto"/>
          </w:divBdr>
        </w:div>
      </w:divsChild>
    </w:div>
    <w:div w:id="1622103234">
      <w:bodyDiv w:val="1"/>
      <w:marLeft w:val="0"/>
      <w:marRight w:val="0"/>
      <w:marTop w:val="0"/>
      <w:marBottom w:val="0"/>
      <w:divBdr>
        <w:top w:val="none" w:sz="0" w:space="0" w:color="auto"/>
        <w:left w:val="none" w:sz="0" w:space="0" w:color="auto"/>
        <w:bottom w:val="none" w:sz="0" w:space="0" w:color="auto"/>
        <w:right w:val="none" w:sz="0" w:space="0" w:color="auto"/>
      </w:divBdr>
    </w:div>
    <w:div w:id="167989025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16217208">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27751989">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reless2.fcc.gov/UlsApp/UlsSearch/searchAdvanced.jsp;JSESSIONID_ULSSEARCH=VRcT47pPXPNwp0erW0HkWbwFPcey5_HHPrNNCuDWvbmej570BSMJ!-994396123!-354363999"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1381</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2025-08-15T06:01:00Z</cp:lastPrinted>
  <dcterms:created xsi:type="dcterms:W3CDTF">2025-08-15T17:49:00Z</dcterms:created>
  <dcterms:modified xsi:type="dcterms:W3CDTF">2025-08-15T17:49:00Z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